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_GB2312" w:eastAsia="仿宋_GB2312"/>
          <w:sz w:val="44"/>
          <w:szCs w:val="44"/>
        </w:rPr>
      </w:pPr>
    </w:p>
    <w:p>
      <w:pPr>
        <w:spacing w:line="360" w:lineRule="auto"/>
        <w:rPr>
          <w:rFonts w:ascii="仿宋_GB2312" w:eastAsia="仿宋_GB2312"/>
          <w:sz w:val="44"/>
          <w:szCs w:val="44"/>
        </w:rPr>
      </w:pPr>
    </w:p>
    <w:p>
      <w:pPr>
        <w:spacing w:line="360" w:lineRule="auto"/>
        <w:rPr>
          <w:rFonts w:ascii="仿宋_GB2312" w:eastAsia="仿宋_GB2312"/>
          <w:sz w:val="44"/>
          <w:szCs w:val="44"/>
        </w:rPr>
      </w:pPr>
    </w:p>
    <w:p>
      <w:pPr>
        <w:spacing w:line="360" w:lineRule="auto"/>
        <w:rPr>
          <w:rFonts w:ascii="仿宋_GB2312" w:eastAsia="仿宋_GB2312"/>
          <w:sz w:val="44"/>
          <w:szCs w:val="44"/>
        </w:rPr>
      </w:pPr>
    </w:p>
    <w:p>
      <w:pPr>
        <w:jc w:val="center"/>
        <w:rPr>
          <w:rFonts w:ascii="宋体" w:hAnsi="宋体"/>
          <w:sz w:val="44"/>
          <w:szCs w:val="44"/>
        </w:rPr>
      </w:pPr>
      <w:r>
        <w:rPr>
          <w:rFonts w:ascii="宋体" w:hAnsi="宋体"/>
          <w:sz w:val="44"/>
          <w:szCs w:val="44"/>
        </w:rPr>
        <w:t>20</w:t>
      </w:r>
      <w:r>
        <w:rPr>
          <w:rFonts w:hint="eastAsia" w:ascii="宋体" w:hAnsi="宋体"/>
          <w:sz w:val="44"/>
          <w:szCs w:val="44"/>
        </w:rPr>
        <w:t>20</w:t>
      </w:r>
      <w:r>
        <w:rPr>
          <w:rFonts w:ascii="宋体" w:hAnsi="宋体"/>
          <w:sz w:val="44"/>
          <w:szCs w:val="44"/>
        </w:rPr>
        <w:t>年</w:t>
      </w:r>
      <w:r>
        <w:rPr>
          <w:rFonts w:hint="eastAsia" w:ascii="宋体" w:hAnsi="宋体"/>
          <w:sz w:val="44"/>
          <w:szCs w:val="44"/>
        </w:rPr>
        <w:t>度部门</w:t>
      </w:r>
      <w:r>
        <w:rPr>
          <w:rFonts w:ascii="宋体" w:hAnsi="宋体"/>
          <w:sz w:val="44"/>
          <w:szCs w:val="44"/>
        </w:rPr>
        <w:t>整体绩效自评报告</w:t>
      </w: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rPr>
          <w:rFonts w:ascii="仿宋_GB2312" w:eastAsia="仿宋_GB2312"/>
          <w:sz w:val="32"/>
          <w:szCs w:val="32"/>
        </w:rPr>
      </w:pPr>
    </w:p>
    <w:p>
      <w:pPr>
        <w:spacing w:line="360" w:lineRule="auto"/>
        <w:ind w:left="4190" w:leftChars="700" w:hanging="2720" w:hangingChars="850"/>
        <w:rPr>
          <w:rFonts w:ascii="仿宋_GB2312" w:eastAsia="仿宋_GB2312"/>
          <w:bCs/>
          <w:sz w:val="32"/>
          <w:szCs w:val="32"/>
        </w:rPr>
      </w:pPr>
      <w:r>
        <w:rPr>
          <w:rFonts w:hint="eastAsia" w:ascii="仿宋_GB2312" w:eastAsia="仿宋_GB2312"/>
          <w:sz w:val="32"/>
          <w:szCs w:val="32"/>
        </w:rPr>
        <w:t>部门名称（公章）：</w:t>
      </w:r>
      <w:r>
        <w:rPr>
          <w:rFonts w:hint="eastAsia" w:ascii="仿宋_GB2312" w:eastAsia="仿宋_GB2312"/>
          <w:bCs/>
          <w:sz w:val="28"/>
          <w:szCs w:val="28"/>
        </w:rPr>
        <w:t>深圳市大鹏新区家天下幼儿园</w:t>
      </w:r>
    </w:p>
    <w:p>
      <w:pPr>
        <w:spacing w:line="360" w:lineRule="auto"/>
        <w:ind w:firstLine="1440" w:firstLineChars="450"/>
        <w:rPr>
          <w:rFonts w:ascii="仿宋_GB2312" w:eastAsia="仿宋_GB2312"/>
          <w:sz w:val="32"/>
          <w:szCs w:val="32"/>
        </w:rPr>
      </w:pPr>
      <w:r>
        <w:rPr>
          <w:rFonts w:hint="eastAsia" w:ascii="仿宋_GB2312" w:eastAsia="仿宋_GB2312"/>
          <w:sz w:val="32"/>
          <w:szCs w:val="32"/>
        </w:rPr>
        <w:t>填报人：马子谦</w:t>
      </w:r>
    </w:p>
    <w:p>
      <w:pPr>
        <w:spacing w:line="360" w:lineRule="auto"/>
        <w:ind w:firstLine="1440" w:firstLineChars="450"/>
        <w:rPr>
          <w:rFonts w:ascii="仿宋_GB2312" w:eastAsia="仿宋_GB2312"/>
          <w:sz w:val="32"/>
          <w:szCs w:val="32"/>
        </w:rPr>
      </w:pPr>
      <w:r>
        <w:rPr>
          <w:rFonts w:hint="eastAsia" w:ascii="仿宋_GB2312" w:eastAsia="仿宋_GB2312"/>
          <w:sz w:val="32"/>
          <w:szCs w:val="32"/>
        </w:rPr>
        <w:t>联系电话：0755-84209717</w:t>
      </w:r>
    </w:p>
    <w:p>
      <w:pPr>
        <w:jc w:val="center"/>
        <w:rPr>
          <w:rFonts w:ascii="仿宋_GB2312" w:eastAsia="仿宋_GB2312"/>
          <w:sz w:val="32"/>
          <w:szCs w:val="32"/>
        </w:rPr>
      </w:pPr>
    </w:p>
    <w:p>
      <w:pPr>
        <w:jc w:val="center"/>
        <w:rPr>
          <w:rFonts w:ascii="宋体" w:hAnsi="宋体"/>
          <w:sz w:val="44"/>
          <w:szCs w:val="44"/>
        </w:rPr>
      </w:pPr>
    </w:p>
    <w:p>
      <w:pPr>
        <w:jc w:val="center"/>
        <w:rPr>
          <w:rFonts w:ascii="宋体" w:hAnsi="宋体"/>
          <w:sz w:val="44"/>
          <w:szCs w:val="44"/>
        </w:rPr>
      </w:pPr>
    </w:p>
    <w:p>
      <w:pPr>
        <w:rPr>
          <w:rFonts w:ascii="宋体" w:hAnsi="宋体"/>
          <w:sz w:val="44"/>
          <w:szCs w:val="44"/>
        </w:rPr>
      </w:pPr>
    </w:p>
    <w:p>
      <w:pPr>
        <w:rPr>
          <w:rFonts w:ascii="宋体" w:hAnsi="宋体"/>
          <w:sz w:val="44"/>
          <w:szCs w:val="44"/>
        </w:rPr>
      </w:pPr>
    </w:p>
    <w:p>
      <w:pPr>
        <w:rPr>
          <w:rFonts w:ascii="宋体" w:hAnsi="宋体"/>
          <w:sz w:val="44"/>
          <w:szCs w:val="44"/>
        </w:rPr>
      </w:pPr>
    </w:p>
    <w:p>
      <w:pPr>
        <w:snapToGrid w:val="0"/>
        <w:spacing w:line="540" w:lineRule="exact"/>
        <w:rPr>
          <w:rFonts w:ascii="宋体" w:hAnsi="宋体"/>
          <w:sz w:val="44"/>
          <w:szCs w:val="44"/>
        </w:rPr>
      </w:pPr>
    </w:p>
    <w:p>
      <w:pPr>
        <w:rPr>
          <w:rFonts w:ascii="仿宋_GB2312" w:hAnsi="黑体" w:eastAsia="仿宋_GB2312"/>
          <w:sz w:val="32"/>
          <w:szCs w:val="32"/>
        </w:rPr>
      </w:pPr>
    </w:p>
    <w:p>
      <w:pPr>
        <w:ind w:firstLine="640" w:firstLineChars="200"/>
        <w:rPr>
          <w:rFonts w:ascii="仿宋_GB2312" w:hAnsi="黑体" w:eastAsia="仿宋_GB2312"/>
          <w:bCs/>
          <w:sz w:val="32"/>
          <w:szCs w:val="32"/>
        </w:rPr>
      </w:pPr>
      <w:r>
        <w:rPr>
          <w:rFonts w:hint="eastAsia" w:ascii="仿宋_GB2312" w:hAnsi="黑体" w:eastAsia="仿宋_GB2312"/>
          <w:sz w:val="32"/>
          <w:szCs w:val="32"/>
        </w:rPr>
        <w:t>为贯彻落实党的十九大精神，按照《中共中央</w:t>
      </w:r>
      <w:r>
        <w:rPr>
          <w:rFonts w:hint="default" w:ascii="仿宋_GB2312" w:hAnsi="黑体" w:eastAsia="仿宋_GB2312"/>
          <w:sz w:val="32"/>
          <w:szCs w:val="32"/>
        </w:rPr>
        <w:t xml:space="preserve"> </w:t>
      </w:r>
      <w:r>
        <w:rPr>
          <w:rFonts w:hint="eastAsia" w:ascii="仿宋_GB2312" w:hAnsi="黑体" w:eastAsia="仿宋_GB2312"/>
          <w:sz w:val="32"/>
          <w:szCs w:val="32"/>
        </w:rPr>
        <w:t>国务院关于全面实施预算绩效管理的意见》《深圳市财政局关于贯彻落实全面实施预算绩效管理有关事项的通知》及《大鹏新区贯彻落实全面实施预算绩效管理实施方案》要求，根据《中华人民共和国预算法》及实施条例，结合深圳市大鹏新区发展和财政局《关于做好新区2021预算绩效管理工作的通知》（深鹏发财函〔2021〕51号）要求，在新区教育和卫</w:t>
      </w:r>
      <w:r>
        <w:rPr>
          <w:rFonts w:hint="eastAsia" w:ascii="仿宋_GB2312" w:hAnsi="黑体" w:eastAsia="仿宋_GB2312"/>
          <w:sz w:val="32"/>
          <w:szCs w:val="32"/>
          <w:lang w:val="en-US" w:eastAsia="zh-CN"/>
        </w:rPr>
        <w:t>生健康</w:t>
      </w:r>
      <w:r>
        <w:rPr>
          <w:rFonts w:hint="eastAsia" w:ascii="仿宋_GB2312" w:hAnsi="黑体" w:eastAsia="仿宋_GB2312"/>
          <w:sz w:val="32"/>
          <w:szCs w:val="32"/>
        </w:rPr>
        <w:t>局的领导下，深圳市大鹏新区家天下幼儿园组织绩效评价小组对2020年度部门整体支出展开绩效自评工作，现将评价情况及结果报告如下。</w:t>
      </w:r>
    </w:p>
    <w:p>
      <w:pPr>
        <w:ind w:firstLine="640" w:firstLineChars="200"/>
        <w:rPr>
          <w:rFonts w:ascii="黑体" w:hAnsi="黑体" w:eastAsia="黑体"/>
          <w:sz w:val="32"/>
          <w:szCs w:val="32"/>
        </w:rPr>
      </w:pPr>
      <w:r>
        <w:rPr>
          <w:rFonts w:hint="eastAsia" w:ascii="黑体" w:hAnsi="黑体" w:eastAsia="黑体"/>
          <w:sz w:val="32"/>
          <w:szCs w:val="32"/>
        </w:rPr>
        <w:t>一、部门（单位）基本情况</w:t>
      </w:r>
    </w:p>
    <w:p>
      <w:pPr>
        <w:ind w:firstLine="481" w:firstLineChars="150"/>
        <w:rPr>
          <w:rFonts w:ascii="楷体" w:hAnsi="楷体" w:eastAsia="楷体"/>
          <w:b/>
          <w:sz w:val="32"/>
          <w:szCs w:val="32"/>
        </w:rPr>
      </w:pPr>
      <w:r>
        <w:rPr>
          <w:rFonts w:hint="eastAsia" w:ascii="楷体" w:hAnsi="楷体" w:eastAsia="楷体"/>
          <w:b/>
          <w:sz w:val="32"/>
          <w:szCs w:val="32"/>
        </w:rPr>
        <w:t>（一）部门主要职能</w:t>
      </w:r>
    </w:p>
    <w:p>
      <w:pPr>
        <w:ind w:firstLine="640" w:firstLineChars="200"/>
        <w:rPr>
          <w:rFonts w:ascii="仿宋_GB2312" w:hAnsi="黑体" w:eastAsia="仿宋_GB2312"/>
          <w:sz w:val="32"/>
          <w:szCs w:val="32"/>
        </w:rPr>
      </w:pPr>
      <w:r>
        <w:rPr>
          <w:rFonts w:hint="eastAsia" w:ascii="仿宋_GB2312" w:hAnsi="黑体" w:eastAsia="仿宋_GB2312"/>
          <w:sz w:val="32"/>
          <w:szCs w:val="32"/>
        </w:rPr>
        <w:t>我园的主要职能职责为：</w:t>
      </w:r>
    </w:p>
    <w:p>
      <w:pPr>
        <w:ind w:firstLine="640" w:firstLineChars="200"/>
        <w:rPr>
          <w:rFonts w:ascii="仿宋_GB2312" w:hAnsi="黑体" w:eastAsia="仿宋_GB2312"/>
          <w:sz w:val="32"/>
          <w:szCs w:val="32"/>
        </w:rPr>
      </w:pPr>
      <w:r>
        <w:rPr>
          <w:rFonts w:hint="eastAsia" w:ascii="仿宋_GB2312" w:hAnsi="黑体" w:eastAsia="仿宋_GB2312"/>
          <w:sz w:val="32"/>
          <w:szCs w:val="32"/>
        </w:rPr>
        <w:t>1.认真贯彻教育方针，贯彻执行《幼儿园管理条例》《幼儿园工作规程》等有关法规、法律、执行上级主管部门的指示和下达的各项工作，努力完成任务。</w:t>
      </w:r>
    </w:p>
    <w:p>
      <w:pPr>
        <w:ind w:firstLine="640" w:firstLineChars="200"/>
        <w:rPr>
          <w:rFonts w:ascii="仿宋_GB2312" w:hAnsi="黑体" w:eastAsia="仿宋_GB2312"/>
          <w:sz w:val="32"/>
          <w:szCs w:val="32"/>
        </w:rPr>
      </w:pPr>
      <w:r>
        <w:rPr>
          <w:rFonts w:hint="eastAsia" w:ascii="仿宋_GB2312" w:hAnsi="黑体" w:eastAsia="仿宋_GB2312"/>
          <w:sz w:val="32"/>
          <w:szCs w:val="32"/>
        </w:rPr>
        <w:t>2.主持全园行政、业务管理，制定全园工作计划，做好实施、检查、总结工作。努力提高保教质量，提高服务质量。</w:t>
      </w:r>
    </w:p>
    <w:p>
      <w:pPr>
        <w:ind w:firstLine="640" w:firstLineChars="200"/>
        <w:rPr>
          <w:rFonts w:ascii="仿宋_GB2312" w:hAnsi="黑体" w:eastAsia="仿宋_GB2312"/>
          <w:sz w:val="32"/>
          <w:szCs w:val="32"/>
        </w:rPr>
      </w:pPr>
      <w:r>
        <w:rPr>
          <w:rFonts w:hint="eastAsia" w:ascii="仿宋_GB2312" w:hAnsi="黑体" w:eastAsia="仿宋_GB2312"/>
          <w:sz w:val="32"/>
          <w:szCs w:val="32"/>
        </w:rPr>
        <w:t>3.负责聘任、调配工作人员，对全园教职工工作进行指导、检查、评估、考核，并给予奖惩。</w:t>
      </w:r>
    </w:p>
    <w:p>
      <w:pPr>
        <w:ind w:firstLine="640" w:firstLineChars="200"/>
        <w:rPr>
          <w:rFonts w:ascii="仿宋_GB2312" w:hAnsi="黑体" w:eastAsia="仿宋_GB2312"/>
          <w:sz w:val="32"/>
          <w:szCs w:val="32"/>
        </w:rPr>
      </w:pPr>
      <w:r>
        <w:rPr>
          <w:rFonts w:hint="eastAsia" w:ascii="仿宋_GB2312" w:hAnsi="黑体" w:eastAsia="仿宋_GB2312"/>
          <w:sz w:val="32"/>
          <w:szCs w:val="32"/>
        </w:rPr>
        <w:t>4.加强全园教工的思想工作，进行职业道德教育，组织文化、业务学习。并为他们的政治、文化业务进修创造必要的条件，关心和逐步改善教工的生活工作条件，提高他们的政治、业务水平，维护他们的正当权益，形成良好园风。</w:t>
      </w:r>
    </w:p>
    <w:p>
      <w:pPr>
        <w:ind w:firstLine="640" w:firstLineChars="200"/>
        <w:rPr>
          <w:rFonts w:ascii="仿宋_GB2312" w:hAnsi="黑体" w:eastAsia="仿宋_GB2312"/>
          <w:sz w:val="32"/>
          <w:szCs w:val="32"/>
        </w:rPr>
      </w:pPr>
      <w:r>
        <w:rPr>
          <w:rFonts w:hint="eastAsia" w:ascii="仿宋_GB2312" w:hAnsi="黑体" w:eastAsia="仿宋_GB2312"/>
          <w:sz w:val="32"/>
          <w:szCs w:val="32"/>
        </w:rPr>
        <w:t>5.坚持勤俭办园的方针，管理好园舍、设备和经费，督促事务、财务人员合理安排资金开支，搞好绿化工作，不断改善办园的条件。</w:t>
      </w:r>
    </w:p>
    <w:p>
      <w:pPr>
        <w:ind w:firstLine="640" w:firstLineChars="200"/>
        <w:rPr>
          <w:rFonts w:ascii="仿宋_GB2312" w:hAnsi="黑体" w:eastAsia="仿宋_GB2312"/>
          <w:sz w:val="32"/>
          <w:szCs w:val="32"/>
        </w:rPr>
      </w:pPr>
      <w:r>
        <w:rPr>
          <w:rFonts w:hint="eastAsia" w:ascii="仿宋_GB2312" w:hAnsi="黑体" w:eastAsia="仿宋_GB2312"/>
          <w:sz w:val="32"/>
          <w:szCs w:val="32"/>
        </w:rPr>
        <w:t>6.增强民主管理意识，经常听取意见，改进工作。依靠和发挥党、政、工、团骨干作用，办好幼儿园。</w:t>
      </w:r>
    </w:p>
    <w:p>
      <w:pPr>
        <w:ind w:firstLine="640" w:firstLineChars="200"/>
        <w:rPr>
          <w:rFonts w:ascii="仿宋_GB2312" w:hAnsi="黑体" w:eastAsia="仿宋_GB2312"/>
          <w:sz w:val="32"/>
          <w:szCs w:val="32"/>
        </w:rPr>
      </w:pPr>
      <w:r>
        <w:rPr>
          <w:rFonts w:hint="eastAsia" w:ascii="仿宋_GB2312" w:hAnsi="黑体" w:eastAsia="仿宋_GB2312"/>
          <w:sz w:val="32"/>
          <w:szCs w:val="32"/>
        </w:rPr>
        <w:t>7.努力学习，及时了解吸收幼儿工作的信息、经验、不断提高自身政治、文化业务素质，推动促进幼儿园各项工作的开展。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黑体" w:eastAsia="仿宋_GB2312"/>
          <w:sz w:val="32"/>
          <w:szCs w:val="32"/>
        </w:rPr>
      </w:pPr>
      <w:r>
        <w:rPr>
          <w:rFonts w:hint="eastAsia" w:ascii="仿宋_GB2312" w:hAnsi="黑体" w:eastAsia="仿宋_GB2312"/>
          <w:sz w:val="32"/>
          <w:szCs w:val="32"/>
        </w:rPr>
        <w:t>8.</w:t>
      </w:r>
      <w:r>
        <w:rPr>
          <w:rFonts w:ascii="仿宋_GB2312" w:hAnsi="黑体" w:eastAsia="仿宋_GB2312"/>
          <w:sz w:val="32"/>
          <w:szCs w:val="32"/>
        </w:rPr>
        <w:t>承办</w:t>
      </w:r>
      <w:r>
        <w:rPr>
          <w:rFonts w:hint="eastAsia" w:ascii="仿宋_GB2312" w:hAnsi="黑体" w:eastAsia="仿宋_GB2312"/>
          <w:sz w:val="32"/>
          <w:szCs w:val="32"/>
        </w:rPr>
        <w:t>新区党工委、管委会</w:t>
      </w:r>
      <w:r>
        <w:rPr>
          <w:rFonts w:ascii="仿宋_GB2312" w:hAnsi="黑体" w:eastAsia="仿宋_GB2312"/>
          <w:sz w:val="32"/>
          <w:szCs w:val="32"/>
        </w:rPr>
        <w:t>和上级部门交办的其他事项</w:t>
      </w:r>
      <w:r>
        <w:rPr>
          <w:rFonts w:hint="eastAsia" w:ascii="仿宋_GB2312" w:hAnsi="黑体" w:eastAsia="仿宋_GB2312"/>
          <w:sz w:val="32"/>
          <w:szCs w:val="32"/>
        </w:rPr>
        <w:t>。</w:t>
      </w:r>
    </w:p>
    <w:p>
      <w:pPr>
        <w:ind w:firstLine="420"/>
        <w:rPr>
          <w:rFonts w:ascii="楷体" w:hAnsi="楷体" w:eastAsia="楷体"/>
          <w:b/>
          <w:sz w:val="32"/>
          <w:szCs w:val="32"/>
        </w:rPr>
      </w:pPr>
      <w:r>
        <w:rPr>
          <w:rFonts w:hint="eastAsia" w:ascii="楷体" w:hAnsi="楷体" w:eastAsia="楷体"/>
          <w:b/>
          <w:sz w:val="32"/>
          <w:szCs w:val="32"/>
        </w:rPr>
        <w:t>（二）年度总体工作和重点工作任务。</w:t>
      </w:r>
    </w:p>
    <w:p>
      <w:pPr>
        <w:ind w:firstLine="640" w:firstLineChars="200"/>
        <w:rPr>
          <w:rFonts w:ascii="仿宋_GB2312" w:hAnsi="黑体" w:eastAsia="仿宋_GB2312"/>
          <w:sz w:val="32"/>
          <w:szCs w:val="32"/>
        </w:rPr>
      </w:pPr>
      <w:r>
        <w:rPr>
          <w:rFonts w:hint="eastAsia" w:ascii="仿宋_GB2312" w:hAnsi="黑体" w:eastAsia="仿宋_GB2312"/>
          <w:sz w:val="32"/>
          <w:szCs w:val="32"/>
        </w:rPr>
        <w:t>2020年，我园作为新开办公立幼儿园，坚持从我园实际出发，以广东省深圳市大鹏新区幼儿园工作计划为依据，以学习落实《3—6岁儿童学习与发展指南》为主线，关注幼儿学习的整体性，尊重幼儿的个体差异，理解幼儿学习方式与特点，重视幼儿的学习品质。建好队伍，抓好培训，以内涵发展为主线，以构筑优质教育为主旨，努力“做孩子爱戴的老师，创家长满意的幼儿园，办人民满意的幼儿教育”。</w:t>
      </w:r>
    </w:p>
    <w:p>
      <w:pPr>
        <w:ind w:firstLine="640" w:firstLineChars="200"/>
        <w:rPr>
          <w:rFonts w:ascii="仿宋_GB2312" w:hAnsi="黑体" w:eastAsia="仿宋_GB2312"/>
          <w:sz w:val="32"/>
          <w:szCs w:val="32"/>
        </w:rPr>
      </w:pPr>
      <w:r>
        <w:rPr>
          <w:rFonts w:hint="eastAsia" w:ascii="仿宋_GB2312" w:hAnsi="黑体" w:eastAsia="仿宋_GB2312"/>
          <w:sz w:val="32"/>
          <w:szCs w:val="32"/>
        </w:rPr>
        <w:t>我园秉承“让每一个孩子成长为他自己最喜欢的模样”的教育理念，携手一支爱与智慧并存的专业化教师队伍，共创一所具教育内涵、有儿童气息、呈中国特色的高品质幼儿园，致力于培养健康活泼，积极勇敢、文明自信、亲近自然、爱护环境的新时代中国儿童。</w:t>
      </w:r>
    </w:p>
    <w:p>
      <w:pPr>
        <w:ind w:firstLine="481" w:firstLineChars="150"/>
        <w:rPr>
          <w:rFonts w:ascii="楷体" w:hAnsi="楷体" w:eastAsia="楷体"/>
          <w:b/>
          <w:sz w:val="32"/>
          <w:szCs w:val="32"/>
        </w:rPr>
      </w:pPr>
      <w:r>
        <w:rPr>
          <w:rFonts w:hint="eastAsia" w:ascii="楷体" w:hAnsi="楷体" w:eastAsia="楷体"/>
          <w:b/>
          <w:sz w:val="32"/>
          <w:szCs w:val="32"/>
        </w:rPr>
        <w:t>（三）2020年部门预算编制情况。</w:t>
      </w:r>
    </w:p>
    <w:p>
      <w:pPr>
        <w:ind w:firstLine="642" w:firstLineChars="200"/>
        <w:rPr>
          <w:rFonts w:ascii="仿宋_GB2312" w:hAnsi="黑体" w:eastAsia="仿宋_GB2312"/>
          <w:sz w:val="32"/>
          <w:szCs w:val="32"/>
        </w:rPr>
      </w:pPr>
      <w:r>
        <w:rPr>
          <w:rFonts w:hint="eastAsia" w:ascii="仿宋_GB2312" w:hAnsi="黑体" w:eastAsia="仿宋_GB2312"/>
          <w:b/>
          <w:bCs/>
          <w:sz w:val="32"/>
          <w:szCs w:val="32"/>
        </w:rPr>
        <w:t>1.部门预算编制合理规范。</w:t>
      </w:r>
      <w:r>
        <w:rPr>
          <w:rFonts w:hint="eastAsia" w:ascii="仿宋_GB2312" w:hAnsi="黑体" w:eastAsia="仿宋_GB2312"/>
          <w:sz w:val="32"/>
          <w:szCs w:val="32"/>
        </w:rPr>
        <w:t>我园于2020年9月成立，未开展2020年部门预算编制工作，但在经费申请和预算执行过程中，严格按照新区发展和财政局、新区教育和卫生健康局有关预算管理规定的要求，紧密结合部门职能，按照收支平衡、保障重点的原则，合理申请经费，支持幼儿园正常运营和发展。财务室作为预算绩效归口管理部门负责汇总审核部门预算，综合平衡预算收支，提出预算支出的重点与安排建议，形成年度建议预算数,由园领导会议审议通过后报</w:t>
      </w:r>
      <w:r>
        <w:rPr>
          <w:rFonts w:hint="eastAsia" w:ascii="仿宋_GB2312" w:hAnsi="黑体" w:eastAsia="仿宋_GB2312"/>
          <w:sz w:val="32"/>
          <w:szCs w:val="32"/>
          <w:lang w:val="en-US" w:eastAsia="zh-CN"/>
        </w:rPr>
        <w:t>新</w:t>
      </w:r>
      <w:r>
        <w:rPr>
          <w:rFonts w:hint="eastAsia" w:ascii="仿宋_GB2312" w:hAnsi="黑体" w:eastAsia="仿宋_GB2312"/>
          <w:sz w:val="32"/>
          <w:szCs w:val="32"/>
        </w:rPr>
        <w:t>区</w:t>
      </w:r>
      <w:r>
        <w:rPr>
          <w:rFonts w:hint="eastAsia" w:ascii="仿宋_GB2312" w:hAnsi="黑体" w:eastAsia="仿宋_GB2312"/>
          <w:sz w:val="32"/>
          <w:szCs w:val="32"/>
          <w:lang w:val="en-US" w:eastAsia="zh-CN"/>
        </w:rPr>
        <w:t>教育和卫生健康</w:t>
      </w:r>
      <w:r>
        <w:rPr>
          <w:rFonts w:hint="eastAsia" w:ascii="仿宋_GB2312" w:hAnsi="黑体" w:eastAsia="仿宋_GB2312"/>
          <w:sz w:val="32"/>
          <w:szCs w:val="32"/>
        </w:rPr>
        <w:t>局。全年部门预算资金能根据年度工作重点，在不同项目、不同用途之间分配合理，部门预算分配不固化，能根据实际情况在同一项目内合理调整。</w:t>
      </w:r>
    </w:p>
    <w:p>
      <w:pPr>
        <w:ind w:firstLine="803" w:firstLineChars="250"/>
        <w:rPr>
          <w:rFonts w:ascii="仿宋_GB2312" w:hAnsi="黑体" w:eastAsia="仿宋_GB2312"/>
          <w:sz w:val="32"/>
          <w:szCs w:val="32"/>
        </w:rPr>
      </w:pPr>
      <w:r>
        <w:rPr>
          <w:rFonts w:hint="eastAsia" w:ascii="仿宋_GB2312" w:hAnsi="黑体" w:eastAsia="仿宋_GB2312"/>
          <w:b/>
          <w:sz w:val="32"/>
          <w:szCs w:val="32"/>
        </w:rPr>
        <w:t>2.绩效目标设置完整明确。</w:t>
      </w:r>
      <w:r>
        <w:rPr>
          <w:rFonts w:hint="eastAsia" w:ascii="仿宋_GB2312" w:hAnsi="黑体" w:eastAsia="仿宋_GB2312"/>
          <w:sz w:val="32"/>
          <w:szCs w:val="32"/>
        </w:rPr>
        <w:t>根据新区</w:t>
      </w:r>
      <w:r>
        <w:rPr>
          <w:rFonts w:hint="eastAsia" w:ascii="仿宋_GB2312" w:hAnsi="黑体" w:eastAsia="仿宋_GB2312"/>
          <w:sz w:val="32"/>
          <w:szCs w:val="32"/>
          <w:lang w:eastAsia="zh-CN"/>
        </w:rPr>
        <w:t>发展和</w:t>
      </w:r>
      <w:r>
        <w:rPr>
          <w:rFonts w:hint="eastAsia" w:ascii="仿宋_GB2312" w:hAnsi="黑体" w:eastAsia="仿宋_GB2312"/>
          <w:sz w:val="32"/>
          <w:szCs w:val="32"/>
        </w:rPr>
        <w:t>财政</w:t>
      </w:r>
      <w:r>
        <w:rPr>
          <w:rFonts w:hint="eastAsia" w:ascii="仿宋_GB2312" w:hAnsi="黑体" w:eastAsia="仿宋_GB2312"/>
          <w:sz w:val="32"/>
          <w:szCs w:val="32"/>
          <w:lang w:eastAsia="zh-CN"/>
        </w:rPr>
        <w:t>局</w:t>
      </w:r>
      <w:r>
        <w:rPr>
          <w:rFonts w:hint="eastAsia" w:ascii="仿宋_GB2312" w:hAnsi="黑体" w:eastAsia="仿宋_GB2312"/>
          <w:sz w:val="32"/>
          <w:szCs w:val="32"/>
        </w:rPr>
        <w:t>和新区教育和卫</w:t>
      </w:r>
      <w:r>
        <w:rPr>
          <w:rFonts w:hint="eastAsia" w:ascii="仿宋_GB2312" w:hAnsi="黑体" w:eastAsia="仿宋_GB2312"/>
          <w:sz w:val="32"/>
          <w:szCs w:val="32"/>
          <w:lang w:val="en-US" w:eastAsia="zh-CN"/>
        </w:rPr>
        <w:t>生健康</w:t>
      </w:r>
      <w:r>
        <w:rPr>
          <w:rFonts w:hint="eastAsia" w:ascii="仿宋_GB2312" w:hAnsi="黑体" w:eastAsia="仿宋_GB2312"/>
          <w:sz w:val="32"/>
          <w:szCs w:val="32"/>
        </w:rPr>
        <w:t>局的预算绩效管理工作安排，我园将所有项目支出纳入部门预算绩效管理并编制预算绩效目标，在绩效自评开展前，补充完善所有项目支出绩效目标，分别从产出目标和效益目标两方面设置了三级指标，根据工作计划、行业标准、历史标准等定性定量明确了指标目标值，实现绩效目标全覆盖，同时根据部门职责，合理设置部门整体个性化绩效指标。绩效目标设置完整、明确，符合我园履职要求，能够体现我园履职效果，绩效目标的目标值测算符合客观实际情况。</w:t>
      </w:r>
    </w:p>
    <w:p>
      <w:pPr>
        <w:ind w:firstLine="420"/>
        <w:rPr>
          <w:rFonts w:ascii="楷体" w:hAnsi="楷体" w:eastAsia="楷体"/>
          <w:b/>
          <w:sz w:val="32"/>
          <w:szCs w:val="32"/>
        </w:rPr>
      </w:pPr>
      <w:r>
        <w:rPr>
          <w:rFonts w:hint="eastAsia" w:ascii="楷体" w:hAnsi="楷体" w:eastAsia="楷体"/>
          <w:b/>
          <w:sz w:val="32"/>
          <w:szCs w:val="32"/>
        </w:rPr>
        <w:t>（四）2020年部门预算执行情况。</w:t>
      </w:r>
    </w:p>
    <w:p>
      <w:pPr>
        <w:ind w:firstLine="642" w:firstLineChars="200"/>
        <w:rPr>
          <w:rFonts w:ascii="仿宋_GB2312" w:eastAsia="仿宋_GB2312"/>
          <w:b/>
          <w:bCs/>
          <w:color w:val="000000"/>
          <w:kern w:val="0"/>
          <w:sz w:val="32"/>
          <w:szCs w:val="32"/>
        </w:rPr>
      </w:pPr>
      <w:r>
        <w:rPr>
          <w:rFonts w:ascii="仿宋_GB2312" w:eastAsia="仿宋_GB2312"/>
          <w:b/>
          <w:bCs/>
          <w:color w:val="000000"/>
          <w:kern w:val="0"/>
          <w:sz w:val="32"/>
          <w:szCs w:val="32"/>
        </w:rPr>
        <w:t>1.</w:t>
      </w:r>
      <w:r>
        <w:rPr>
          <w:rFonts w:hint="eastAsia" w:ascii="仿宋_GB2312" w:eastAsia="仿宋_GB2312"/>
          <w:b/>
          <w:bCs/>
          <w:color w:val="000000"/>
          <w:kern w:val="0"/>
          <w:sz w:val="32"/>
          <w:szCs w:val="32"/>
        </w:rPr>
        <w:t>资金管理</w:t>
      </w:r>
    </w:p>
    <w:p>
      <w:pPr>
        <w:ind w:firstLine="642"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rPr>
        <w:t>（</w:t>
      </w:r>
      <w:r>
        <w:rPr>
          <w:rFonts w:ascii="仿宋_GB2312" w:eastAsia="仿宋_GB2312"/>
          <w:b/>
          <w:bCs/>
          <w:color w:val="000000"/>
          <w:kern w:val="0"/>
          <w:sz w:val="32"/>
          <w:szCs w:val="32"/>
        </w:rPr>
        <w:t>1</w:t>
      </w:r>
      <w:r>
        <w:rPr>
          <w:rFonts w:hint="eastAsia" w:ascii="仿宋_GB2312" w:eastAsia="仿宋_GB2312"/>
          <w:b/>
          <w:bCs/>
          <w:color w:val="000000"/>
          <w:kern w:val="0"/>
          <w:sz w:val="32"/>
          <w:szCs w:val="32"/>
        </w:rPr>
        <w:t>）资金预算、支出及结余结转情况</w:t>
      </w:r>
    </w:p>
    <w:p>
      <w:pPr>
        <w:ind w:firstLine="640" w:firstLineChars="200"/>
        <w:rPr>
          <w:rFonts w:ascii="仿宋_GB2312" w:eastAsia="仿宋_GB2312"/>
          <w:color w:val="000000"/>
          <w:kern w:val="0"/>
          <w:sz w:val="32"/>
          <w:szCs w:val="32"/>
        </w:rPr>
      </w:pPr>
      <w:bookmarkStart w:id="0" w:name="_Hlk50046743"/>
      <w:r>
        <w:rPr>
          <w:rFonts w:ascii="仿宋_GB2312" w:eastAsia="仿宋_GB2312"/>
          <w:color w:val="000000"/>
          <w:kern w:val="0"/>
          <w:sz w:val="32"/>
          <w:szCs w:val="32"/>
        </w:rPr>
        <w:t>2020</w:t>
      </w:r>
      <w:r>
        <w:rPr>
          <w:rFonts w:hint="eastAsia" w:ascii="仿宋_GB2312" w:eastAsia="仿宋_GB2312"/>
          <w:color w:val="000000"/>
          <w:kern w:val="0"/>
          <w:sz w:val="32"/>
          <w:szCs w:val="32"/>
        </w:rPr>
        <w:t>年我园年全年预算数为957.60万元，</w:t>
      </w:r>
      <w:r>
        <w:rPr>
          <w:rFonts w:hint="eastAsia" w:ascii="仿宋_GB2312" w:hAnsi="仿宋" w:eastAsia="仿宋_GB2312"/>
          <w:color w:val="000000"/>
          <w:sz w:val="32"/>
          <w:szCs w:val="32"/>
        </w:rPr>
        <w:t>其中：一般公共预算财政拨款收入955.06万元,其他收入2.54万元。</w:t>
      </w:r>
      <w:r>
        <w:rPr>
          <w:rFonts w:hint="eastAsia" w:ascii="仿宋_GB2312" w:eastAsia="仿宋_GB2312"/>
          <w:color w:val="000000"/>
          <w:kern w:val="0"/>
          <w:sz w:val="32"/>
          <w:szCs w:val="32"/>
        </w:rPr>
        <w:t>全年决算支出955.52万元，其中基本支出0万元，项目支出955.52万元，年末结转和结余2.08万元。</w:t>
      </w:r>
      <w:bookmarkEnd w:id="0"/>
    </w:p>
    <w:p>
      <w:pPr>
        <w:ind w:firstLine="642"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rPr>
        <w:t>（</w:t>
      </w:r>
      <w:r>
        <w:rPr>
          <w:rFonts w:ascii="仿宋_GB2312" w:eastAsia="仿宋_GB2312"/>
          <w:b/>
          <w:bCs/>
          <w:color w:val="000000"/>
          <w:kern w:val="0"/>
          <w:sz w:val="32"/>
          <w:szCs w:val="32"/>
        </w:rPr>
        <w:t>2</w:t>
      </w:r>
      <w:r>
        <w:rPr>
          <w:rFonts w:hint="eastAsia" w:ascii="仿宋_GB2312" w:eastAsia="仿宋_GB2312"/>
          <w:b/>
          <w:bCs/>
          <w:color w:val="000000"/>
          <w:kern w:val="0"/>
          <w:sz w:val="32"/>
          <w:szCs w:val="32"/>
        </w:rPr>
        <w:t>）政府采购执行率</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2020年，我园无政府采购预算,全年也无政府采购支出发生。但是，我园依旧高度重视政府采购业务，积极安排财务人员学习《中华人民共和国政府采购法》、内控制度及相关政府采购法律法规等，深入了解政府采购业务，不断提高我校财务人员的业务素质和法律意识。</w:t>
      </w:r>
    </w:p>
    <w:p>
      <w:pPr>
        <w:ind w:firstLine="642"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rPr>
        <w:t>（</w:t>
      </w:r>
      <w:r>
        <w:rPr>
          <w:rFonts w:ascii="仿宋_GB2312" w:eastAsia="仿宋_GB2312"/>
          <w:b/>
          <w:bCs/>
          <w:color w:val="000000"/>
          <w:kern w:val="0"/>
          <w:sz w:val="32"/>
          <w:szCs w:val="32"/>
        </w:rPr>
        <w:t>3</w:t>
      </w:r>
      <w:r>
        <w:rPr>
          <w:rFonts w:hint="eastAsia" w:ascii="仿宋_GB2312" w:eastAsia="仿宋_GB2312"/>
          <w:b/>
          <w:bCs/>
          <w:color w:val="000000"/>
          <w:kern w:val="0"/>
          <w:sz w:val="32"/>
          <w:szCs w:val="32"/>
        </w:rPr>
        <w:t>）财务合规性</w:t>
      </w:r>
    </w:p>
    <w:p>
      <w:pPr>
        <w:ind w:firstLine="640" w:firstLineChars="200"/>
        <w:rPr>
          <w:rFonts w:ascii="仿宋_GB2312" w:eastAsia="仿宋_GB2312"/>
          <w:kern w:val="0"/>
          <w:sz w:val="32"/>
          <w:szCs w:val="32"/>
        </w:rPr>
      </w:pPr>
      <w:r>
        <w:rPr>
          <w:rFonts w:hint="eastAsia" w:ascii="仿宋_GB2312" w:eastAsia="仿宋_GB2312"/>
          <w:kern w:val="0"/>
          <w:sz w:val="32"/>
          <w:szCs w:val="32"/>
        </w:rPr>
        <w:t>结合我园内部管理要求及本次绩效自评工作业务自查，我园资金支出规范，资金管理、费用标准、支付严格按照预算批复、业务需求及相关财务制度规定执行，无超范围、超标准支出，不存在截留、挤占、挪用项目资金情况。我园预算调整调剂严格按照规定的程序和审批权限报预算管理员及财政部门审批。会计核算制度执行规范，不存在支出依据不合规、虚列项目支出的情况，重大项目支出经过前期评估论证，未出现超预算、无预算支出，或擅自改变预算支出用途和我园领导班子会议研究决定。</w:t>
      </w:r>
    </w:p>
    <w:p>
      <w:pPr>
        <w:ind w:firstLine="642" w:firstLineChars="200"/>
        <w:rPr>
          <w:rFonts w:ascii="仿宋_GB2312" w:eastAsia="仿宋_GB2312"/>
          <w:b/>
          <w:bCs/>
          <w:color w:val="000000"/>
          <w:kern w:val="0"/>
          <w:sz w:val="32"/>
          <w:szCs w:val="32"/>
        </w:rPr>
      </w:pPr>
      <w:r>
        <w:rPr>
          <w:rFonts w:ascii="仿宋_GB2312" w:eastAsia="仿宋_GB2312"/>
          <w:b/>
          <w:bCs/>
          <w:color w:val="000000"/>
          <w:kern w:val="0"/>
          <w:sz w:val="32"/>
          <w:szCs w:val="32"/>
        </w:rPr>
        <w:t>3.</w:t>
      </w:r>
      <w:r>
        <w:rPr>
          <w:rFonts w:hint="eastAsia" w:ascii="仿宋_GB2312" w:eastAsia="仿宋_GB2312"/>
          <w:b/>
          <w:bCs/>
          <w:color w:val="000000"/>
          <w:kern w:val="0"/>
          <w:sz w:val="32"/>
          <w:szCs w:val="32"/>
        </w:rPr>
        <w:t>预决算信息公开</w:t>
      </w:r>
    </w:p>
    <w:p>
      <w:pPr>
        <w:ind w:firstLine="640" w:firstLineChars="200"/>
        <w:rPr>
          <w:rFonts w:ascii="仿宋_GB2312" w:eastAsia="仿宋_GB2312"/>
          <w:kern w:val="0"/>
          <w:sz w:val="32"/>
          <w:szCs w:val="32"/>
        </w:rPr>
      </w:pPr>
      <w:r>
        <w:rPr>
          <w:rFonts w:hint="eastAsia" w:ascii="仿宋_GB2312" w:eastAsia="仿宋_GB2312"/>
          <w:kern w:val="0"/>
          <w:sz w:val="32"/>
          <w:szCs w:val="32"/>
        </w:rPr>
        <w:t>根据</w:t>
      </w:r>
      <w:r>
        <w:rPr>
          <w:rFonts w:hint="eastAsia" w:ascii="仿宋_GB2312" w:eastAsia="仿宋_GB2312"/>
          <w:kern w:val="0"/>
          <w:sz w:val="32"/>
          <w:szCs w:val="32"/>
          <w:lang w:val="en-US" w:eastAsia="zh-CN"/>
        </w:rPr>
        <w:t>新</w:t>
      </w:r>
      <w:r>
        <w:rPr>
          <w:rFonts w:hint="eastAsia" w:ascii="仿宋_GB2312" w:eastAsia="仿宋_GB2312"/>
          <w:kern w:val="0"/>
          <w:sz w:val="32"/>
          <w:szCs w:val="32"/>
        </w:rPr>
        <w:t>区</w:t>
      </w:r>
      <w:r>
        <w:rPr>
          <w:rFonts w:hint="eastAsia" w:ascii="仿宋_GB2312" w:eastAsia="仿宋_GB2312"/>
          <w:kern w:val="0"/>
          <w:sz w:val="32"/>
          <w:szCs w:val="32"/>
          <w:lang w:val="en-US" w:eastAsia="zh-CN"/>
        </w:rPr>
        <w:t>教育和</w:t>
      </w:r>
      <w:r>
        <w:rPr>
          <w:rFonts w:hint="eastAsia" w:ascii="仿宋_GB2312" w:eastAsia="仿宋_GB2312"/>
          <w:kern w:val="0"/>
          <w:sz w:val="32"/>
          <w:szCs w:val="32"/>
        </w:rPr>
        <w:t>卫</w:t>
      </w:r>
      <w:r>
        <w:rPr>
          <w:rFonts w:hint="eastAsia" w:ascii="仿宋_GB2312" w:eastAsia="仿宋_GB2312"/>
          <w:kern w:val="0"/>
          <w:sz w:val="32"/>
          <w:szCs w:val="32"/>
          <w:lang w:val="en-US" w:eastAsia="zh-CN"/>
        </w:rPr>
        <w:t>生健康</w:t>
      </w:r>
      <w:r>
        <w:rPr>
          <w:rFonts w:hint="eastAsia" w:ascii="仿宋_GB2312" w:eastAsia="仿宋_GB2312"/>
          <w:kern w:val="0"/>
          <w:sz w:val="32"/>
          <w:szCs w:val="32"/>
        </w:rPr>
        <w:t>局关于预算公开要求，</w:t>
      </w:r>
      <w:r>
        <w:rPr>
          <w:rFonts w:hint="eastAsia" w:ascii="仿宋_GB2312" w:eastAsia="仿宋_GB2312"/>
          <w:kern w:val="0"/>
          <w:sz w:val="32"/>
          <w:szCs w:val="32"/>
          <w:lang w:val="en-US" w:eastAsia="zh-CN"/>
        </w:rPr>
        <w:t>新</w:t>
      </w:r>
      <w:r>
        <w:rPr>
          <w:rFonts w:hint="eastAsia" w:ascii="仿宋_GB2312" w:eastAsia="仿宋_GB2312"/>
          <w:kern w:val="0"/>
          <w:sz w:val="32"/>
          <w:szCs w:val="32"/>
        </w:rPr>
        <w:t>区</w:t>
      </w:r>
      <w:r>
        <w:rPr>
          <w:rFonts w:hint="eastAsia" w:ascii="仿宋_GB2312" w:eastAsia="仿宋_GB2312"/>
          <w:kern w:val="0"/>
          <w:sz w:val="32"/>
          <w:szCs w:val="32"/>
          <w:lang w:val="en-US" w:eastAsia="zh-CN"/>
        </w:rPr>
        <w:t>教育和卫生健康</w:t>
      </w:r>
      <w:r>
        <w:rPr>
          <w:rFonts w:hint="eastAsia" w:ascii="仿宋_GB2312" w:eastAsia="仿宋_GB2312"/>
          <w:kern w:val="0"/>
          <w:sz w:val="32"/>
          <w:szCs w:val="32"/>
        </w:rPr>
        <w:t>局将汇总本部门及所属各单位的预算，按有关要求在“大鹏新区政府在线”门户网站进行公开，故我园预决算数据由</w:t>
      </w:r>
      <w:r>
        <w:rPr>
          <w:rFonts w:hint="eastAsia" w:ascii="仿宋_GB2312" w:eastAsia="仿宋_GB2312"/>
          <w:kern w:val="0"/>
          <w:sz w:val="32"/>
          <w:szCs w:val="32"/>
          <w:lang w:val="en-US" w:eastAsia="zh-CN"/>
        </w:rPr>
        <w:t>新</w:t>
      </w:r>
      <w:r>
        <w:rPr>
          <w:rFonts w:hint="eastAsia" w:ascii="仿宋_GB2312" w:eastAsia="仿宋_GB2312"/>
          <w:kern w:val="0"/>
          <w:sz w:val="32"/>
          <w:szCs w:val="32"/>
        </w:rPr>
        <w:t>区</w:t>
      </w:r>
      <w:r>
        <w:rPr>
          <w:rFonts w:hint="eastAsia" w:ascii="仿宋_GB2312" w:eastAsia="仿宋_GB2312"/>
          <w:kern w:val="0"/>
          <w:sz w:val="32"/>
          <w:szCs w:val="32"/>
          <w:lang w:val="en-US" w:eastAsia="zh-CN"/>
        </w:rPr>
        <w:t>教育和卫生健康</w:t>
      </w:r>
      <w:r>
        <w:rPr>
          <w:rFonts w:hint="eastAsia" w:ascii="仿宋_GB2312" w:eastAsia="仿宋_GB2312"/>
          <w:kern w:val="0"/>
          <w:sz w:val="32"/>
          <w:szCs w:val="32"/>
        </w:rPr>
        <w:t>局汇总后统一进行公开公示。我园于2020年9月成立，未编制2020年部门预算，无需公示2020年部门预算。我园严格按照财政要求，按时按质按量完成了2020年决算编报，2020年部门决算数据将根据</w:t>
      </w:r>
      <w:r>
        <w:rPr>
          <w:rFonts w:hint="eastAsia" w:ascii="仿宋_GB2312" w:eastAsia="仿宋_GB2312"/>
          <w:kern w:val="0"/>
          <w:sz w:val="32"/>
          <w:szCs w:val="32"/>
          <w:lang w:val="en-US" w:eastAsia="zh-CN"/>
        </w:rPr>
        <w:t>新</w:t>
      </w:r>
      <w:r>
        <w:rPr>
          <w:rFonts w:hint="eastAsia" w:ascii="仿宋_GB2312" w:eastAsia="仿宋_GB2312"/>
          <w:kern w:val="0"/>
          <w:sz w:val="32"/>
          <w:szCs w:val="32"/>
        </w:rPr>
        <w:t>区发展和财政局、</w:t>
      </w:r>
      <w:r>
        <w:rPr>
          <w:rFonts w:hint="eastAsia" w:ascii="仿宋_GB2312" w:eastAsia="仿宋_GB2312"/>
          <w:kern w:val="0"/>
          <w:sz w:val="32"/>
          <w:szCs w:val="32"/>
          <w:lang w:val="en-US" w:eastAsia="zh-CN"/>
        </w:rPr>
        <w:t>新</w:t>
      </w:r>
      <w:r>
        <w:rPr>
          <w:rFonts w:hint="eastAsia" w:ascii="仿宋_GB2312" w:eastAsia="仿宋_GB2312"/>
          <w:kern w:val="0"/>
          <w:sz w:val="32"/>
          <w:szCs w:val="32"/>
        </w:rPr>
        <w:t>区</w:t>
      </w:r>
      <w:r>
        <w:rPr>
          <w:rFonts w:hint="eastAsia" w:ascii="仿宋_GB2312" w:eastAsia="仿宋_GB2312"/>
          <w:kern w:val="0"/>
          <w:sz w:val="32"/>
          <w:szCs w:val="32"/>
          <w:lang w:val="en-US" w:eastAsia="zh-CN"/>
        </w:rPr>
        <w:t>教育和卫生健康</w:t>
      </w:r>
      <w:r>
        <w:rPr>
          <w:rFonts w:hint="eastAsia" w:ascii="仿宋_GB2312" w:eastAsia="仿宋_GB2312"/>
          <w:kern w:val="0"/>
          <w:sz w:val="32"/>
          <w:szCs w:val="32"/>
        </w:rPr>
        <w:t>局相关规定进行公开公示。</w:t>
      </w:r>
    </w:p>
    <w:p>
      <w:pPr>
        <w:ind w:firstLine="642" w:firstLineChars="200"/>
        <w:rPr>
          <w:rFonts w:ascii="仿宋_GB2312" w:eastAsia="仿宋_GB2312"/>
          <w:b/>
          <w:bCs/>
          <w:color w:val="000000"/>
          <w:kern w:val="0"/>
          <w:sz w:val="32"/>
          <w:szCs w:val="32"/>
        </w:rPr>
      </w:pPr>
      <w:r>
        <w:rPr>
          <w:rFonts w:ascii="仿宋_GB2312" w:eastAsia="仿宋_GB2312"/>
          <w:b/>
          <w:bCs/>
          <w:color w:val="000000"/>
          <w:kern w:val="0"/>
          <w:sz w:val="32"/>
          <w:szCs w:val="32"/>
        </w:rPr>
        <w:t>4.</w:t>
      </w:r>
      <w:r>
        <w:rPr>
          <w:rFonts w:hint="eastAsia" w:ascii="仿宋_GB2312" w:eastAsia="仿宋_GB2312"/>
          <w:b/>
          <w:bCs/>
          <w:color w:val="000000"/>
          <w:kern w:val="0"/>
          <w:sz w:val="32"/>
          <w:szCs w:val="32"/>
        </w:rPr>
        <w:t>项目管理</w:t>
      </w:r>
    </w:p>
    <w:p>
      <w:pPr>
        <w:ind w:firstLine="640" w:firstLineChars="200"/>
        <w:rPr>
          <w:rFonts w:ascii="仿宋_GB2312" w:eastAsia="仿宋_GB2312"/>
          <w:kern w:val="0"/>
          <w:sz w:val="32"/>
          <w:szCs w:val="32"/>
        </w:rPr>
      </w:pPr>
      <w:r>
        <w:rPr>
          <w:rFonts w:hint="eastAsia" w:ascii="仿宋_GB2312" w:eastAsia="仿宋_GB2312"/>
          <w:kern w:val="0"/>
          <w:sz w:val="32"/>
          <w:szCs w:val="32"/>
        </w:rPr>
        <w:t>2020年我园预算项目包括“幼儿园发展经费”“开办费”“运行经费”等4个项目支出，全年预算金额共计957.60万元，我园对以上项目全部纳入预算绩效管理，在绩效自评开展前补充完善绩效目标。2020年我园项目实际支出共计955.52万元,我园将根据有关规定和工作安排，根据补充完善的项目支出绩效目标，结合2020年我园预算项目执行情况，认真收集评价基础数据和资料</w:t>
      </w:r>
      <w:r>
        <w:rPr>
          <w:rFonts w:hint="default" w:ascii="仿宋_GB2312" w:eastAsia="仿宋_GB2312"/>
          <w:kern w:val="0"/>
          <w:sz w:val="32"/>
          <w:szCs w:val="32"/>
        </w:rPr>
        <w:t>，</w:t>
      </w:r>
      <w:r>
        <w:rPr>
          <w:rFonts w:hint="eastAsia" w:ascii="仿宋_GB2312" w:eastAsia="仿宋_GB2312"/>
          <w:kern w:val="0"/>
          <w:sz w:val="32"/>
          <w:szCs w:val="32"/>
        </w:rPr>
        <w:t>相应开展项目支出绩效自评工作。</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园项目支出预算的安排与单位履职相符合，财政资金保障充足有效。项目的设立按规定履行报批程序，申报、批复程序符合相关管理办法，项目的招投标、项目支出、调整及完成验收等规范，项目验收均按规定履行相应手续。项目资金支出监管按我园财务管理规定在会计核算方面进行严格的审核支付管理，每月进行预算执行分析，年中执行预算绩效运行监控，对项目资金使用及绩效目标实现程度实行“双监控”，重点关注执行进度偏慢及绩效目标偏离较大的项目，督促项目负责人采取改进措施，同时常态化对项目进行专项或抽样性检查，及时监控发现问题马上督促整改，项目支出建立了有效的预算资金管理机制且执行情况良好。</w:t>
      </w:r>
    </w:p>
    <w:p>
      <w:pPr>
        <w:ind w:firstLine="642" w:firstLineChars="200"/>
        <w:rPr>
          <w:rFonts w:ascii="仿宋_GB2312" w:eastAsia="仿宋_GB2312"/>
          <w:b/>
          <w:bCs/>
          <w:color w:val="000000"/>
          <w:kern w:val="0"/>
          <w:sz w:val="32"/>
          <w:szCs w:val="32"/>
        </w:rPr>
      </w:pPr>
      <w:r>
        <w:rPr>
          <w:rFonts w:ascii="仿宋_GB2312" w:eastAsia="仿宋_GB2312"/>
          <w:b/>
          <w:bCs/>
          <w:color w:val="000000"/>
          <w:kern w:val="0"/>
          <w:sz w:val="32"/>
          <w:szCs w:val="32"/>
        </w:rPr>
        <w:t>5.</w:t>
      </w:r>
      <w:r>
        <w:rPr>
          <w:rFonts w:hint="eastAsia" w:ascii="仿宋_GB2312" w:eastAsia="仿宋_GB2312"/>
          <w:b/>
          <w:bCs/>
          <w:color w:val="000000"/>
          <w:kern w:val="0"/>
          <w:sz w:val="32"/>
          <w:szCs w:val="32"/>
        </w:rPr>
        <w:t>资产管理</w:t>
      </w:r>
    </w:p>
    <w:p>
      <w:pPr>
        <w:ind w:firstLine="640" w:firstLineChars="200"/>
        <w:rPr>
          <w:rFonts w:ascii="华文仿宋" w:hAnsi="华文仿宋" w:eastAsia="华文仿宋" w:cs="华文仿宋"/>
          <w:kern w:val="0"/>
          <w:sz w:val="32"/>
          <w:szCs w:val="32"/>
        </w:rPr>
      </w:pPr>
      <w:r>
        <w:rPr>
          <w:rFonts w:hint="eastAsia" w:ascii="仿宋_GB2312" w:eastAsia="仿宋_GB2312"/>
          <w:color w:val="000000"/>
          <w:kern w:val="0"/>
          <w:sz w:val="32"/>
          <w:szCs w:val="32"/>
        </w:rPr>
        <w:t>我园</w:t>
      </w:r>
      <w:r>
        <w:rPr>
          <w:rFonts w:ascii="仿宋_GB2312" w:eastAsia="仿宋_GB2312"/>
          <w:color w:val="000000"/>
          <w:kern w:val="0"/>
          <w:sz w:val="32"/>
          <w:szCs w:val="32"/>
        </w:rPr>
        <w:t>2020</w:t>
      </w:r>
      <w:r>
        <w:rPr>
          <w:rFonts w:hint="eastAsia" w:ascii="仿宋_GB2312" w:eastAsia="仿宋_GB2312"/>
          <w:color w:val="000000"/>
          <w:kern w:val="0"/>
          <w:sz w:val="32"/>
          <w:szCs w:val="32"/>
        </w:rPr>
        <w:t>年度总资产468.21万元，其中：流动资产36.57万元，非流动资产431.63万元，我园开展定期或不定期的清产核资，通过清产核资，全面摸清我园的财产家底及结构状况，做到账账相符，账实相符，有力的保障国有资产的价值；加强资产验收、资产储存，相互监督、严格把关，保证账实相符；资产处置根据实际采取最优的方法，比如，通过公开拍卖竞价方式处理资产，通过多方报价方式，充分利用价高者得的原则，保障处置资产的价值得到最大的增值。同时使用固定资产管理系统管理幼儿园资产，实现资产的电子化、数字化、网络化管理和调度利用的快速运转。各部门资产配置效率较高，部分部门共享共用闲置资产，切实盘活了存量资产，提高了资产效率。我园全年固定资产454.15万元(其中:在用454.15万元,闲置0万元），固定资产总体使用率达100%。</w:t>
      </w:r>
    </w:p>
    <w:p>
      <w:pPr>
        <w:ind w:firstLine="642" w:firstLineChars="200"/>
        <w:rPr>
          <w:rFonts w:ascii="仿宋_GB2312" w:eastAsia="仿宋_GB2312"/>
          <w:b/>
          <w:color w:val="000000"/>
          <w:kern w:val="0"/>
          <w:sz w:val="32"/>
          <w:szCs w:val="32"/>
        </w:rPr>
      </w:pPr>
      <w:r>
        <w:rPr>
          <w:rFonts w:ascii="仿宋_GB2312" w:eastAsia="仿宋_GB2312"/>
          <w:b/>
          <w:color w:val="000000"/>
          <w:kern w:val="0"/>
          <w:sz w:val="32"/>
          <w:szCs w:val="32"/>
        </w:rPr>
        <w:t>6.</w:t>
      </w:r>
      <w:r>
        <w:rPr>
          <w:rFonts w:hint="eastAsia" w:ascii="仿宋_GB2312" w:eastAsia="仿宋_GB2312"/>
          <w:b/>
          <w:color w:val="000000"/>
          <w:kern w:val="0"/>
          <w:sz w:val="32"/>
          <w:szCs w:val="32"/>
        </w:rPr>
        <w:t>人员管理</w:t>
      </w:r>
    </w:p>
    <w:p>
      <w:pPr>
        <w:ind w:firstLine="640" w:firstLineChars="200"/>
        <w:rPr>
          <w:rFonts w:ascii="仿宋_GB2312" w:eastAsia="仿宋_GB2312"/>
          <w:color w:val="000000"/>
          <w:kern w:val="0"/>
          <w:sz w:val="32"/>
          <w:szCs w:val="32"/>
        </w:rPr>
      </w:pPr>
      <w:r>
        <w:rPr>
          <w:rFonts w:ascii="仿宋_GB2312" w:eastAsia="仿宋_GB2312"/>
          <w:color w:val="000000"/>
          <w:kern w:val="0"/>
          <w:sz w:val="32"/>
          <w:szCs w:val="32"/>
        </w:rPr>
        <w:t>深圳市大鹏新区</w:t>
      </w:r>
      <w:r>
        <w:rPr>
          <w:rFonts w:hint="eastAsia" w:ascii="仿宋_GB2312" w:eastAsia="仿宋_GB2312"/>
          <w:color w:val="000000"/>
          <w:kern w:val="0"/>
          <w:sz w:val="32"/>
          <w:szCs w:val="32"/>
        </w:rPr>
        <w:t>家天下</w:t>
      </w:r>
      <w:r>
        <w:rPr>
          <w:rFonts w:ascii="仿宋_GB2312" w:eastAsia="仿宋_GB2312"/>
          <w:color w:val="000000"/>
          <w:kern w:val="0"/>
          <w:sz w:val="32"/>
          <w:szCs w:val="32"/>
        </w:rPr>
        <w:t>幼儿园</w:t>
      </w:r>
      <w:r>
        <w:rPr>
          <w:rFonts w:hint="eastAsia" w:ascii="仿宋_GB2312" w:eastAsia="仿宋_GB2312"/>
          <w:color w:val="000000"/>
          <w:kern w:val="0"/>
          <w:sz w:val="32"/>
          <w:szCs w:val="32"/>
        </w:rPr>
        <w:t>独立编制机构数1个，无编制人员，年末其他人员数47人，严格按照园内实际需要配置和管理，本年全园教职工考核均达标。</w:t>
      </w:r>
    </w:p>
    <w:p>
      <w:pPr>
        <w:ind w:firstLine="642" w:firstLineChars="200"/>
        <w:rPr>
          <w:rFonts w:ascii="仿宋_GB2312" w:eastAsia="仿宋_GB2312"/>
          <w:b/>
          <w:bCs/>
          <w:color w:val="000000"/>
          <w:kern w:val="0"/>
          <w:sz w:val="32"/>
          <w:szCs w:val="32"/>
        </w:rPr>
      </w:pPr>
      <w:r>
        <w:rPr>
          <w:rFonts w:hint="eastAsia" w:ascii="仿宋_GB2312" w:eastAsia="仿宋_GB2312"/>
          <w:b/>
          <w:bCs/>
          <w:color w:val="000000"/>
          <w:kern w:val="0"/>
          <w:sz w:val="32"/>
          <w:szCs w:val="32"/>
        </w:rPr>
        <w:t>7.制度管理</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园在财政资金管理、内部财务管理、政府采购方面都建立了较为完善的内部控制制度。目前建立了《深圳市大鹏新区家天下幼儿园采购管理制度》《深圳市大鹏新区家天下幼儿园支出管理暂行办法》《深圳市大鹏新区家天下幼儿园预算管理暂行办法》《深圳市大鹏新区家天下幼儿园资产管理暂行办法》等一系列管理制度，基本涵盖预算管理、收支管理、政府采购管理、资产管理、工程项目管理、合同管理、会议管理等各部门基本业务活动，部门职能履行与预算执行得以保障。</w:t>
      </w:r>
    </w:p>
    <w:p>
      <w:pPr>
        <w:ind w:firstLine="627" w:firstLineChars="196"/>
        <w:rPr>
          <w:rFonts w:ascii="黑体" w:hAnsi="黑体" w:eastAsia="黑体"/>
          <w:sz w:val="32"/>
          <w:szCs w:val="32"/>
        </w:rPr>
      </w:pPr>
      <w:r>
        <w:rPr>
          <w:rFonts w:hint="eastAsia" w:ascii="黑体" w:hAnsi="黑体" w:eastAsia="黑体"/>
          <w:sz w:val="32"/>
          <w:szCs w:val="32"/>
        </w:rPr>
        <w:t>二、部门（单位）主要履职绩效分析</w:t>
      </w:r>
    </w:p>
    <w:p>
      <w:pPr>
        <w:ind w:firstLine="642" w:firstLineChars="200"/>
        <w:rPr>
          <w:rFonts w:ascii="楷体" w:hAnsi="楷体" w:eastAsia="楷体"/>
          <w:b/>
          <w:bCs/>
          <w:sz w:val="32"/>
          <w:szCs w:val="32"/>
        </w:rPr>
      </w:pPr>
      <w:r>
        <w:rPr>
          <w:rFonts w:hint="eastAsia" w:ascii="楷体" w:hAnsi="楷体" w:eastAsia="楷体"/>
          <w:b/>
          <w:bCs/>
          <w:sz w:val="32"/>
          <w:szCs w:val="32"/>
        </w:rPr>
        <w:t>（一）主要履职目标</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家天下幼儿园是一所新园，从无到有，管理与制度需一点一点逐渐建立，师生间、亲师间、师师间、生生间需要相互了解，相互融合，一切都在探索和调试中，面临着各种新的挑战。为了在家天下幼儿园建成史上的第一个年头画上铿锵有力的一笔，我们就精心准备、步履坚定、有条不紊，为未来的精彩打好基础，为未来的品牌园做好铺垫，为将来的名师构筑摇篮。我园以《3—6</w:t>
      </w:r>
      <w:r>
        <w:rPr>
          <w:rFonts w:hint="default" w:ascii="仿宋_GB2312" w:eastAsia="仿宋_GB2312"/>
          <w:color w:val="000000"/>
          <w:kern w:val="0"/>
          <w:sz w:val="32"/>
          <w:szCs w:val="32"/>
        </w:rPr>
        <w:t>岁</w:t>
      </w:r>
      <w:r>
        <w:rPr>
          <w:rFonts w:hint="eastAsia" w:ascii="仿宋_GB2312" w:eastAsia="仿宋_GB2312"/>
          <w:color w:val="000000"/>
          <w:kern w:val="0"/>
          <w:sz w:val="32"/>
          <w:szCs w:val="32"/>
        </w:rPr>
        <w:t>儿童学习与发展指南》为指导思想，从幼儿安全、幼儿健康、幼儿成长、幼儿发展和教师队伍建设等多方面出发，规划2020年我园履职目标。</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1.完善各类设备设施，加强资产管理，制定后勤团队的工作要求，全力保障幼儿园各项工作的设备需求与生活所需。</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2.规范各项环节，落实各类安全管理规定，常态化地开展日、月、学期安全隐患排查，确</w:t>
      </w:r>
      <w:r>
        <w:rPr>
          <w:rFonts w:hint="eastAsia" w:ascii="仿宋_GB2312" w:eastAsia="仿宋_GB2312"/>
          <w:color w:val="000000"/>
          <w:kern w:val="0"/>
          <w:sz w:val="32"/>
          <w:szCs w:val="32"/>
          <w:lang w:val="en-US" w:eastAsia="zh-Hans"/>
        </w:rPr>
        <w:t>保</w:t>
      </w:r>
      <w:r>
        <w:rPr>
          <w:rFonts w:hint="eastAsia" w:ascii="仿宋_GB2312" w:eastAsia="仿宋_GB2312"/>
          <w:color w:val="000000"/>
          <w:kern w:val="0"/>
          <w:sz w:val="32"/>
          <w:szCs w:val="32"/>
        </w:rPr>
        <w:t>幼儿园安全、平稳地发展。</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3.探索生活课程与活动课程，丰富孩子的在园生活，让孩子享有幸福的幼儿园生活，身心获得全面发展。</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4.完善制度，各方面建章立制，重视民主建设，提升团队的纪律意识和归属感。</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5.从问题出发，做实做足培训，强化师德培养，提高教师们的日常带班能力，给予孩子幸福而有质量的陪伴。</w:t>
      </w:r>
    </w:p>
    <w:p>
      <w:pPr>
        <w:ind w:firstLine="642" w:firstLineChars="200"/>
        <w:rPr>
          <w:rFonts w:ascii="楷体" w:hAnsi="楷体" w:eastAsia="楷体"/>
          <w:b/>
          <w:bCs/>
          <w:color w:val="000000"/>
          <w:kern w:val="0"/>
          <w:sz w:val="32"/>
          <w:szCs w:val="32"/>
        </w:rPr>
      </w:pPr>
      <w:r>
        <w:rPr>
          <w:rFonts w:hint="eastAsia" w:ascii="楷体" w:hAnsi="楷体" w:eastAsia="楷体"/>
          <w:b/>
          <w:bCs/>
          <w:color w:val="000000"/>
          <w:kern w:val="0"/>
          <w:sz w:val="32"/>
          <w:szCs w:val="32"/>
        </w:rPr>
        <w:t>（二）主要履职情况</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2020年，是我园经受考验的一年，也是全体教师团结奋进的一年，大家付出了汗水，奉献了智慧，获得了成功。结合我园新办园的现状，认真贯彻《幼儿园管理条例》《幼儿园工作规程》和《纲要》，以《3-6岁儿童学习与发展指南》为指导，踏踏实实地做好每一项工作。在全体保教人员齐心协力、团结奋进的努力工作下，幼儿园工作在有序、规范的道路上逐步步入正轨，教育质量日渐提升，主要履职情况如下：</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1.建立健全各项规章制度，从师资建设、教育工作和教研活动等多方面推进园务工作有序有利开展。</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（1）落实各项规章制度:我园进一步健全、落实各项规章制度，每周召开教职工例会，进行一次小检查，对存在问题及时改正，对安排的工作任务做好落实，并把工作情况作为考核教师的一种依据。</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我园的师资队伍还算是一支比较年轻的队伍，一方面加强教师的业务学习，鼓励新教师多向老教师学习，多听课，多参加教研活动，另一方面加强教师师德建设，以《教师道德规范行为》要求自己，做到爱岗敬业，为人师表，科学育人，倾注爱心。一年来，教师的教育教学水平得到提高，学园的幼儿教育得到广大家长的认可与好评。</w:t>
      </w:r>
    </w:p>
    <w:p>
      <w:pPr>
        <w:ind w:firstLine="640" w:firstLineChars="200"/>
        <w:rPr>
          <w:rFonts w:ascii="仿宋_GB2312" w:eastAsia="仿宋_GB2312"/>
          <w:b/>
          <w:color w:val="000000"/>
          <w:kern w:val="0"/>
          <w:sz w:val="32"/>
          <w:szCs w:val="32"/>
        </w:rPr>
      </w:pPr>
      <w:r>
        <w:rPr>
          <w:rFonts w:hint="eastAsia" w:ascii="仿宋_GB2312" w:eastAsia="仿宋_GB2312"/>
          <w:color w:val="000000"/>
          <w:kern w:val="0"/>
          <w:sz w:val="32"/>
          <w:szCs w:val="32"/>
        </w:rPr>
        <w:t>（3）我园坚持一月一次会议，坚持业务学习与政治学习制度，相互学习，相互交流，小结一个月的工作情况，找出不足，及时改进，又明确下一月的工作要求，做好工作准备,保证每月、每周的工作得到有效的落实。</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2.筑起安全防线，严格疫情防控，营造规范和谐校园。</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1）建立健全由园长为第一责任人的园安全工作领导小组，专门成立了安全工作领导小组，制定制度，如：《月工作质量奖的扣罚规定》《家天下幼儿园关于评优评先的规定》《意外伤害事故分级表》，全体教职员工签订安全责任书，并组织全体教职工认真学习上级转发的各种安全教育、安全检查等文件。</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膳食管理中，严格遵守《食品安全法》，秉承安全卫生，营养丰富的角度去制定带量食谱，严把食品验收关。每学期还召开了膳食委员会，每天安排行政教辅人员及家长进行陪餐，广泛听取意见，及时调整食谱，定时向社会公布伙食收支情况，接受家长监督。</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（3）重视新冠</w:t>
      </w:r>
      <w:r>
        <w:rPr>
          <w:rFonts w:hint="eastAsia" w:ascii="仿宋_GB2312" w:eastAsia="仿宋_GB2312"/>
          <w:color w:val="000000"/>
          <w:kern w:val="0"/>
          <w:sz w:val="32"/>
          <w:szCs w:val="32"/>
          <w:lang w:eastAsia="zh-CN"/>
        </w:rPr>
        <w:t>肺炎</w:t>
      </w:r>
      <w:r>
        <w:rPr>
          <w:rFonts w:hint="eastAsia" w:ascii="仿宋_GB2312" w:eastAsia="仿宋_GB2312"/>
          <w:color w:val="000000"/>
          <w:kern w:val="0"/>
          <w:sz w:val="32"/>
          <w:szCs w:val="32"/>
        </w:rPr>
        <w:t>疫情防控，稳步提高卫生保健水平。2020年新型冠状病毒袭击着全人类，传染力极强。为了防控新冠</w:t>
      </w:r>
      <w:r>
        <w:rPr>
          <w:rFonts w:hint="eastAsia" w:ascii="仿宋_GB2312" w:eastAsia="仿宋_GB2312"/>
          <w:color w:val="000000"/>
          <w:kern w:val="0"/>
          <w:sz w:val="32"/>
          <w:szCs w:val="32"/>
          <w:lang w:eastAsia="zh-CN"/>
        </w:rPr>
        <w:t>肺炎</w:t>
      </w:r>
      <w:r>
        <w:rPr>
          <w:rFonts w:hint="eastAsia" w:ascii="仿宋_GB2312" w:eastAsia="仿宋_GB2312"/>
          <w:color w:val="000000"/>
          <w:kern w:val="0"/>
          <w:sz w:val="32"/>
          <w:szCs w:val="32"/>
        </w:rPr>
        <w:t>疫情，在经费紧张的情况下采购了充足的防疫物资，如成人、儿童口罩、乙醇消毒液、84消毒液、防护服、面罩、免手洗消毒液、碘伏等。我们将这些防疫物资分类放好，安排专人管理。在卫生保健方面，我们以一切从孩子的健康角度出发，从疾病预防、伙食管理、健康教育、健康检查、卫生管理，疫情防控等几个方面入手，全面保障孩子的身体素质往良好的方向发展：</w:t>
      </w:r>
    </w:p>
    <w:p>
      <w:pPr>
        <w:ind w:firstLine="640" w:firstLineChars="200"/>
        <w:rPr>
          <w:rFonts w:ascii="仿宋_GB2312" w:eastAsia="仿宋_GB2312"/>
          <w:color w:val="000000"/>
          <w:kern w:val="0"/>
          <w:sz w:val="32"/>
          <w:szCs w:val="32"/>
        </w:rPr>
      </w:pPr>
      <w:r>
        <w:rPr>
          <w:rFonts w:ascii="仿宋_GB2312" w:eastAsia="仿宋_GB2312"/>
          <w:color w:val="000000"/>
          <w:kern w:val="0"/>
          <w:sz w:val="32"/>
          <w:szCs w:val="32"/>
        </w:rPr>
        <w:t>①</w:t>
      </w:r>
      <w:r>
        <w:rPr>
          <w:rFonts w:hint="eastAsia" w:ascii="仿宋_GB2312" w:eastAsia="仿宋_GB2312"/>
          <w:color w:val="000000"/>
          <w:kern w:val="0"/>
          <w:sz w:val="32"/>
          <w:szCs w:val="32"/>
        </w:rPr>
        <w:t>在传染病高发期间，我们加强了“晨午晚”三检工作，严格执行卫生消毒制度，留档留痕，拍照上传至群相册，并做好因病缺勤追踪工作，做到缺勤有原因，就诊有记录。</w:t>
      </w:r>
    </w:p>
    <w:p>
      <w:pPr>
        <w:ind w:firstLine="640" w:firstLineChars="200"/>
        <w:rPr>
          <w:rFonts w:ascii="仿宋_GB2312" w:eastAsia="仿宋_GB2312"/>
          <w:color w:val="000000"/>
          <w:kern w:val="0"/>
          <w:sz w:val="32"/>
          <w:szCs w:val="32"/>
        </w:rPr>
      </w:pPr>
      <w:r>
        <w:rPr>
          <w:rFonts w:ascii="仿宋_GB2312" w:eastAsia="仿宋_GB2312"/>
          <w:color w:val="000000"/>
          <w:kern w:val="0"/>
          <w:sz w:val="32"/>
          <w:szCs w:val="32"/>
        </w:rPr>
        <w:t>②</w:t>
      </w:r>
      <w:r>
        <w:rPr>
          <w:rFonts w:hint="eastAsia" w:ascii="仿宋_GB2312" w:eastAsia="仿宋_GB2312"/>
          <w:color w:val="000000"/>
          <w:kern w:val="0"/>
          <w:sz w:val="32"/>
          <w:szCs w:val="32"/>
        </w:rPr>
        <w:t>通过线上线下培训会议，开展形式多样的健康教育活动。</w:t>
      </w:r>
    </w:p>
    <w:p>
      <w:pPr>
        <w:ind w:firstLine="640" w:firstLineChars="200"/>
        <w:rPr>
          <w:rFonts w:ascii="仿宋_GB2312" w:eastAsia="仿宋_GB2312"/>
          <w:color w:val="000000"/>
          <w:kern w:val="0"/>
          <w:sz w:val="32"/>
          <w:szCs w:val="32"/>
        </w:rPr>
      </w:pPr>
      <w:r>
        <w:rPr>
          <w:rFonts w:ascii="仿宋_GB2312" w:eastAsia="仿宋_GB2312"/>
          <w:color w:val="000000"/>
          <w:kern w:val="0"/>
          <w:sz w:val="32"/>
          <w:szCs w:val="32"/>
        </w:rPr>
        <w:t>③</w:t>
      </w:r>
      <w:r>
        <w:rPr>
          <w:rFonts w:hint="eastAsia" w:ascii="仿宋_GB2312" w:eastAsia="仿宋_GB2312"/>
          <w:color w:val="000000"/>
          <w:kern w:val="0"/>
          <w:sz w:val="32"/>
          <w:szCs w:val="32"/>
        </w:rPr>
        <w:t>每学期初和学期末对全园的孩子进行体质测查。</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④本学年总共发生传染病11例，手足口病2例，疱疹性咽峡炎8例，诺如病毒感染性腹泻1例，因为病情及时发现跟踪处理，有效切断病源，未出现因传染病而停课休学的情况。</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3.加强常规工作管理督导、幼儿游戏质量及教师的环境资源开发能力等，开展形式多样的幼儿园活动，逐步提升保教质量。</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（1）加强常规工作管理督导，规范一日保教质量。</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严格执行保教管理制度，要求教师在每学期初制定保教和班务计划、教研和各科教学计划，要求教师提前一周上交周计划，并做到认真的查阅，发现问题及时给予指导。深入班级听课，检查一日生活常规管理工作，发现问题及时处理。针对新教师实践力不足现象，通过开展了观摩活动、示范班级展示活动，让大家在反思总结、交流研讨、质疑释疑中使自己的观念、意识、能力得到了显著提升。由此证明我园有一支好学上进，团结敬业，综合素质很高的教师队伍。</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提高幼儿游戏质量及教师的环境资源开发能力，创设班级活动区及科学的进行材料投放。其中邀到莲花二幼刘隼老师针对活动区创设及区域材料设计与投放进行专题培训，采用培训与实地观摩指导相结合的研讨模式，帮助班级在活动区创设上实现周周有重点、月月有突破，以此教学教研模式来帮助新教师成长。</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（3）主题活动开展</w:t>
      </w:r>
    </w:p>
    <w:p>
      <w:pPr>
        <w:ind w:firstLine="640" w:firstLineChars="200"/>
        <w:rPr>
          <w:rFonts w:ascii="仿宋_GB2312" w:eastAsia="仿宋_GB2312"/>
          <w:color w:val="000000"/>
          <w:kern w:val="0"/>
          <w:sz w:val="32"/>
          <w:szCs w:val="32"/>
        </w:rPr>
      </w:pPr>
      <w:r>
        <w:rPr>
          <w:rFonts w:ascii="仿宋_GB2312" w:eastAsia="仿宋_GB2312"/>
          <w:color w:val="000000"/>
          <w:kern w:val="0"/>
          <w:sz w:val="32"/>
          <w:szCs w:val="32"/>
        </w:rPr>
        <w:t>①</w:t>
      </w:r>
      <w:r>
        <w:rPr>
          <w:rFonts w:hint="eastAsia" w:ascii="仿宋_GB2312" w:eastAsia="仿宋_GB2312"/>
          <w:color w:val="000000"/>
          <w:kern w:val="0"/>
          <w:sz w:val="32"/>
          <w:szCs w:val="32"/>
        </w:rPr>
        <w:t>学习活动开展：本学期小班围绕《我上幼儿园了》、中班《我当哥哥姐姐了》、大班《我毕业了》等主题学习活动，教师的活动越来越丰富、幼儿的作品也从平面逐步走向立体化、从单一的你教我学逐步向主题式多区域、多材料自主选择的学习形式迈进。</w:t>
      </w:r>
    </w:p>
    <w:p>
      <w:pPr>
        <w:ind w:firstLine="640" w:firstLineChars="200"/>
        <w:rPr>
          <w:rFonts w:ascii="仿宋_GB2312" w:eastAsia="仿宋_GB2312"/>
          <w:color w:val="000000"/>
          <w:kern w:val="0"/>
          <w:sz w:val="32"/>
          <w:szCs w:val="32"/>
        </w:rPr>
      </w:pPr>
      <w:r>
        <w:rPr>
          <w:rFonts w:ascii="仿宋_GB2312" w:eastAsia="仿宋_GB2312"/>
          <w:color w:val="000000"/>
          <w:kern w:val="0"/>
          <w:sz w:val="32"/>
          <w:szCs w:val="32"/>
        </w:rPr>
        <w:t>②</w:t>
      </w:r>
      <w:r>
        <w:rPr>
          <w:rFonts w:hint="eastAsia" w:ascii="仿宋_GB2312" w:eastAsia="仿宋_GB2312"/>
          <w:color w:val="000000"/>
          <w:kern w:val="0"/>
          <w:sz w:val="32"/>
          <w:szCs w:val="32"/>
        </w:rPr>
        <w:t>中国传统文化主题活动：中国传统文化历史悠久，源远流长，是华夏儿女的精神家园，是民族发展和强大的根和魂，我们结合中国的传统文化节日和二十四节气开展相应的主题活动，让优秀的传统文化浸润童年，让中华的优良美德滋养儿童的品格。</w:t>
      </w:r>
    </w:p>
    <w:p>
      <w:pPr>
        <w:ind w:firstLine="640" w:firstLineChars="200"/>
        <w:rPr>
          <w:rFonts w:ascii="仿宋_GB2312" w:eastAsia="仿宋_GB2312"/>
          <w:color w:val="000000"/>
          <w:kern w:val="0"/>
          <w:sz w:val="32"/>
          <w:szCs w:val="32"/>
        </w:rPr>
      </w:pPr>
      <w:r>
        <w:rPr>
          <w:rFonts w:ascii="仿宋_GB2312" w:eastAsia="仿宋_GB2312"/>
          <w:color w:val="000000"/>
          <w:kern w:val="0"/>
          <w:sz w:val="32"/>
          <w:szCs w:val="32"/>
        </w:rPr>
        <w:t>③</w:t>
      </w:r>
      <w:r>
        <w:rPr>
          <w:rFonts w:hint="eastAsia" w:ascii="仿宋_GB2312" w:eastAsia="仿宋_GB2312"/>
          <w:color w:val="000000"/>
          <w:kern w:val="0"/>
          <w:sz w:val="32"/>
          <w:szCs w:val="32"/>
        </w:rPr>
        <w:t>主题晨会：升国旗是为了铭记历史，把祖国放在我们的心中，为了祖国的美好未来而努力。本学年我园按每月一次主题晨会开展升旗仪式并为幼儿提供更多展示和表现自我的平台。</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（4）对外交流开放活动。</w:t>
      </w:r>
      <w:bookmarkStart w:id="1" w:name="_GoBack"/>
      <w:bookmarkEnd w:id="1"/>
    </w:p>
    <w:p>
      <w:pPr>
        <w:ind w:firstLine="640" w:firstLineChars="200"/>
        <w:rPr>
          <w:rFonts w:hint="eastAsia" w:ascii="仿宋_GB2312" w:eastAsia="仿宋_GB2312"/>
          <w:color w:val="000000"/>
          <w:kern w:val="0"/>
          <w:sz w:val="32"/>
          <w:szCs w:val="32"/>
        </w:rPr>
      </w:pPr>
      <w:r>
        <w:rPr>
          <w:rFonts w:hint="eastAsia" w:ascii="仿宋_GB2312" w:eastAsia="仿宋_GB2312"/>
          <w:color w:val="000000"/>
          <w:kern w:val="0"/>
          <w:sz w:val="32"/>
          <w:szCs w:val="32"/>
        </w:rPr>
        <w:t>家天下幼儿园虽然是9月份才刚刚开办的一所新园，但是园所环境和设备设施配套完善，吸引了幼教同仁们乃至跨领域行业其他行政事业单位的青睐，多次要求来园参观学习，我们将对外开放视为提升和交流的契机，搭建沟通、交流、互助平台，把自己建园的优势和经验毫无保留的展示出来，共同成长。每次接待我们都是非常用心，从会场布置到茶歇的摆放再到餐点设计和园所的环境创设，都彰显了我们对每次对外开放的重视。本学期一共接待30多次。</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4.树立后勤服务意识，提高服务技能，保证服务质量，努力规范后勤管理，为幼儿园的教育、幼儿活动教学工作提供有力的后勤保障。</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（1）</w:t>
      </w:r>
      <w:r>
        <w:rPr>
          <w:rFonts w:ascii="仿宋_GB2312" w:eastAsia="仿宋_GB2312"/>
          <w:color w:val="000000"/>
          <w:kern w:val="0"/>
          <w:sz w:val="32"/>
          <w:szCs w:val="32"/>
        </w:rPr>
        <w:t>重视后勤工作人员的政治思想学习，提高后勤工作人员的服务意识。为提高大家的服务意识，从思想上深刻的认识到工作分工不分家。后勤工作人员是幕后英雄，是默默的耕耘者，每个工作岗位直接影响全园师生的健康和安全卫生的教育环境。</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w:t>
      </w:r>
      <w:r>
        <w:rPr>
          <w:rFonts w:ascii="仿宋_GB2312" w:eastAsia="仿宋_GB2312"/>
          <w:color w:val="000000"/>
          <w:kern w:val="0"/>
          <w:sz w:val="32"/>
          <w:szCs w:val="32"/>
        </w:rPr>
        <w:t>保教结合，精心呵护每一位孩子。</w:t>
      </w:r>
    </w:p>
    <w:p>
      <w:pPr>
        <w:ind w:firstLine="640" w:firstLineChars="200"/>
        <w:rPr>
          <w:rFonts w:ascii="仿宋_GB2312" w:eastAsia="仿宋_GB2312"/>
          <w:color w:val="000000"/>
          <w:kern w:val="0"/>
          <w:sz w:val="32"/>
          <w:szCs w:val="32"/>
        </w:rPr>
      </w:pPr>
      <w:r>
        <w:rPr>
          <w:rFonts w:ascii="仿宋_GB2312" w:eastAsia="仿宋_GB2312"/>
          <w:color w:val="000000"/>
          <w:kern w:val="0"/>
          <w:sz w:val="32"/>
          <w:szCs w:val="32"/>
        </w:rPr>
        <w:t>保育工作是幼儿园工作的重要组成部分，要照顾好孩子一日的起居饮食，配合教师创设良好的环境条件，促进保教活动的顺利开展。通过不断的学习交流，保育水平逐步提升，能够积极配合老师做好一日教学工作，做到保教结合，教养并重，促进幼儿健康成长，起着不可缺少的作用。</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（3）</w:t>
      </w:r>
      <w:r>
        <w:rPr>
          <w:rFonts w:ascii="仿宋_GB2312" w:eastAsia="仿宋_GB2312"/>
          <w:color w:val="000000"/>
          <w:kern w:val="0"/>
          <w:sz w:val="32"/>
          <w:szCs w:val="32"/>
        </w:rPr>
        <w:t>加强财务和固定资产管理，严格财经纪律。</w:t>
      </w:r>
    </w:p>
    <w:p>
      <w:pPr>
        <w:ind w:firstLine="640" w:firstLineChars="200"/>
        <w:rPr>
          <w:rFonts w:ascii="仿宋_GB2312" w:eastAsia="仿宋_GB2312"/>
          <w:color w:val="000000"/>
          <w:kern w:val="0"/>
          <w:sz w:val="32"/>
          <w:szCs w:val="32"/>
        </w:rPr>
      </w:pPr>
      <w:r>
        <w:rPr>
          <w:rFonts w:ascii="仿宋_GB2312" w:eastAsia="仿宋_GB2312"/>
          <w:color w:val="000000"/>
          <w:kern w:val="0"/>
          <w:sz w:val="32"/>
          <w:szCs w:val="32"/>
        </w:rPr>
        <w:t>根据幼儿园工作规程，要创设与教育相适应的良好环境，为幼儿提高活动和表现能力的机会与条件。在财务工作方面，按照新区财政部门下达的开办费指标数，严格走支出审批程序，合理使用经费，把每一分钱都用在刀刃上。并且做到年初有预算，年终有决算，收支有据，办事有计划，真正做到有章可循，有法可依。</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4.密切家园联系，有效形成家园合力。</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家庭是幼儿园重要的合作伙伴，努力做好家长工作，争取家长的理解、支持与密切配合，非常重要。疫情防控期间，我园仍坚持以小组约谈、家访、电访、线上家长会等形式多途径、多渠道增进家园沟通与协作，使家长能更深入的了解幼儿园、了解教师的工作，从而更加支持、配合教师的教育活动，搭建了良好的家园共育模式。故事妈妈入班讲绘本故事、开展每周一次故事会、线上晚安故事、全园绘本漂流等活动。</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5.多措并举，促进教师专业化成长 。</w:t>
      </w:r>
    </w:p>
    <w:p>
      <w:pPr>
        <w:ind w:firstLine="640" w:firstLineChars="200"/>
        <w:rPr>
          <w:rFonts w:ascii="仿宋_GB2312" w:eastAsia="仿宋_GB2312"/>
          <w:color w:val="000000"/>
          <w:kern w:val="0"/>
          <w:sz w:val="32"/>
          <w:szCs w:val="32"/>
        </w:rPr>
      </w:pPr>
      <w:r>
        <w:rPr>
          <w:rFonts w:ascii="仿宋_GB2312" w:eastAsia="仿宋_GB2312"/>
          <w:color w:val="000000"/>
          <w:kern w:val="0"/>
          <w:sz w:val="32"/>
          <w:szCs w:val="32"/>
        </w:rPr>
        <w:t>结合本园教师整体年轻化、教师专业化水平较低，实践能力不足等问题，本学年，我园教育教学部门通过开展姐妹园帮扶活动、专家引领、园本培训、外出参观学习、提供多平台成长空间、提升理论素养等措施，提升教师专业化成长水平。</w:t>
      </w:r>
    </w:p>
    <w:p>
      <w:pPr>
        <w:ind w:firstLine="642" w:firstLineChars="200"/>
        <w:rPr>
          <w:rFonts w:ascii="仿宋_GB2312" w:eastAsia="仿宋_GB2312"/>
          <w:b/>
          <w:color w:val="000000"/>
          <w:kern w:val="0"/>
          <w:sz w:val="32"/>
          <w:szCs w:val="32"/>
        </w:rPr>
      </w:pPr>
      <w:r>
        <w:rPr>
          <w:rFonts w:hint="eastAsia" w:ascii="楷体" w:hAnsi="楷体" w:eastAsia="楷体"/>
          <w:b/>
          <w:bCs/>
          <w:sz w:val="32"/>
          <w:szCs w:val="32"/>
        </w:rPr>
        <w:t>（</w:t>
      </w:r>
      <w:r>
        <w:rPr>
          <w:rFonts w:hint="eastAsia" w:ascii="仿宋_GB2312" w:eastAsia="仿宋_GB2312"/>
          <w:b/>
          <w:color w:val="000000"/>
          <w:kern w:val="0"/>
          <w:sz w:val="32"/>
          <w:szCs w:val="32"/>
        </w:rPr>
        <w:t>三）部门履职绩效情况。</w:t>
      </w:r>
    </w:p>
    <w:p>
      <w:pPr>
        <w:ind w:firstLine="642" w:firstLineChars="200"/>
        <w:rPr>
          <w:rFonts w:ascii="仿宋_GB2312" w:eastAsia="仿宋_GB2312"/>
          <w:b/>
          <w:color w:val="000000"/>
          <w:kern w:val="0"/>
          <w:sz w:val="32"/>
          <w:szCs w:val="32"/>
        </w:rPr>
      </w:pPr>
      <w:r>
        <w:rPr>
          <w:rFonts w:ascii="仿宋_GB2312" w:eastAsia="仿宋_GB2312"/>
          <w:b/>
          <w:color w:val="000000"/>
          <w:kern w:val="0"/>
          <w:sz w:val="32"/>
          <w:szCs w:val="32"/>
        </w:rPr>
        <w:t>1.</w:t>
      </w:r>
      <w:r>
        <w:rPr>
          <w:rFonts w:hint="eastAsia" w:ascii="仿宋_GB2312" w:eastAsia="仿宋_GB2312"/>
          <w:b/>
          <w:color w:val="000000"/>
          <w:kern w:val="0"/>
          <w:sz w:val="32"/>
          <w:szCs w:val="32"/>
        </w:rPr>
        <w:t>经济性</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w:t>
      </w:r>
      <w:r>
        <w:rPr>
          <w:rFonts w:ascii="仿宋_GB2312" w:eastAsia="仿宋_GB2312"/>
          <w:color w:val="000000"/>
          <w:kern w:val="0"/>
          <w:sz w:val="32"/>
          <w:szCs w:val="32"/>
        </w:rPr>
        <w:t>1</w:t>
      </w:r>
      <w:r>
        <w:rPr>
          <w:rFonts w:hint="eastAsia" w:ascii="仿宋_GB2312" w:eastAsia="仿宋_GB2312"/>
          <w:color w:val="000000"/>
          <w:kern w:val="0"/>
          <w:sz w:val="32"/>
          <w:szCs w:val="32"/>
        </w:rPr>
        <w:t>）“三公”经费控制率</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2020年度我园无“三公”经费预算，全年也无“三公”经费支出。</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w:t>
      </w:r>
      <w:r>
        <w:rPr>
          <w:rFonts w:ascii="仿宋_GB2312" w:eastAsia="仿宋_GB2312"/>
          <w:b/>
          <w:color w:val="000000"/>
          <w:kern w:val="0"/>
          <w:sz w:val="32"/>
          <w:szCs w:val="32"/>
        </w:rPr>
        <w:t>2</w:t>
      </w:r>
      <w:r>
        <w:rPr>
          <w:rFonts w:hint="eastAsia" w:ascii="仿宋_GB2312" w:eastAsia="仿宋_GB2312"/>
          <w:b/>
          <w:color w:val="000000"/>
          <w:kern w:val="0"/>
          <w:sz w:val="32"/>
          <w:szCs w:val="32"/>
        </w:rPr>
        <w:t>）日常公用经费控制率</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我园</w:t>
      </w:r>
      <w:r>
        <w:rPr>
          <w:rFonts w:ascii="仿宋_GB2312" w:eastAsia="仿宋_GB2312"/>
          <w:color w:val="000000"/>
          <w:kern w:val="0"/>
          <w:sz w:val="32"/>
          <w:szCs w:val="32"/>
        </w:rPr>
        <w:t>2020</w:t>
      </w:r>
      <w:r>
        <w:rPr>
          <w:rFonts w:hint="eastAsia" w:ascii="仿宋_GB2312" w:eastAsia="仿宋_GB2312"/>
          <w:color w:val="000000"/>
          <w:kern w:val="0"/>
          <w:sz w:val="32"/>
          <w:szCs w:val="32"/>
        </w:rPr>
        <w:t>年日常公用经费预算数为0万元,调整预算数为0万元，决算数为0万元。</w:t>
      </w:r>
    </w:p>
    <w:p>
      <w:pPr>
        <w:ind w:firstLine="642" w:firstLineChars="200"/>
        <w:rPr>
          <w:rFonts w:ascii="仿宋_GB2312" w:eastAsia="仿宋_GB2312"/>
          <w:b/>
          <w:color w:val="000000"/>
          <w:kern w:val="0"/>
          <w:sz w:val="32"/>
          <w:szCs w:val="32"/>
        </w:rPr>
      </w:pPr>
      <w:r>
        <w:rPr>
          <w:rFonts w:ascii="仿宋_GB2312" w:eastAsia="仿宋_GB2312"/>
          <w:b/>
          <w:color w:val="000000"/>
          <w:kern w:val="0"/>
          <w:sz w:val="32"/>
          <w:szCs w:val="32"/>
        </w:rPr>
        <w:t>2.</w:t>
      </w:r>
      <w:r>
        <w:rPr>
          <w:rFonts w:hint="eastAsia" w:ascii="仿宋_GB2312" w:eastAsia="仿宋_GB2312"/>
          <w:b/>
          <w:color w:val="000000"/>
          <w:kern w:val="0"/>
          <w:sz w:val="32"/>
          <w:szCs w:val="32"/>
        </w:rPr>
        <w:t>效率性</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根据单位预算执行情况可知，我园全年财政预算数955.06万元，全年执行数为955.05万元，预算执行率100%</w:t>
      </w:r>
      <w:r>
        <w:rPr>
          <w:rFonts w:hint="default" w:ascii="仿宋_GB2312" w:eastAsia="仿宋_GB2312"/>
          <w:color w:val="000000"/>
          <w:kern w:val="0"/>
          <w:sz w:val="32"/>
          <w:szCs w:val="32"/>
        </w:rPr>
        <w:t>。</w:t>
      </w:r>
    </w:p>
    <w:p>
      <w:pPr>
        <w:ind w:firstLine="642" w:firstLineChars="200"/>
        <w:rPr>
          <w:rFonts w:ascii="仿宋_GB2312" w:eastAsia="仿宋_GB2312"/>
          <w:b/>
          <w:color w:val="000000"/>
          <w:kern w:val="0"/>
          <w:sz w:val="32"/>
          <w:szCs w:val="32"/>
        </w:rPr>
      </w:pPr>
      <w:r>
        <w:rPr>
          <w:rFonts w:hint="eastAsia" w:ascii="仿宋_GB2312" w:eastAsia="仿宋_GB2312"/>
          <w:b/>
          <w:color w:val="000000"/>
          <w:kern w:val="0"/>
          <w:sz w:val="32"/>
          <w:szCs w:val="32"/>
        </w:rPr>
        <w:t>3.效果性</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2020年，我园坚持以《幼儿园工作规程》和《幼儿园工作纲要》为指导，以《3-6岁儿童学习与发展指南》为抓手，通过全体保教人员齐心协力、团结奋进的努力工作，取得了多方面的成效：</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1）幼儿成长方面。在深圳市第十五届“沙沙讲故事”比赛（亲子组）半决赛中，由大一班幼儿参演的原创故事《海上救生员》以总分第一的好成绩，取得特等奖；在新区幼儿美术作品中多名孩子荣获特等奖、一等奖和二等奖。</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2）教师提升方面，大一班参赛沙沙讲故事的《海上救生员》指导教师张微荣获了“优秀指导老师”称号；我园体育老师何瑶在深圳市大鹏新区体育与健康教学录像课评比活动中，他的《小汽车与红绿灯》活动案例获得幼儿组三等奖；美术老师唐珺在深圳市大鹏新区幼儿美术作品比赛中荣获特等奖和优秀指导奖。经过一</w:t>
      </w:r>
      <w:r>
        <w:rPr>
          <w:rFonts w:hint="eastAsia" w:ascii="仿宋_GB2312" w:eastAsia="仿宋_GB2312"/>
          <w:color w:val="000000"/>
          <w:kern w:val="0"/>
          <w:sz w:val="32"/>
          <w:szCs w:val="32"/>
          <w:lang w:val="en-US" w:eastAsia="zh-CN"/>
        </w:rPr>
        <w:t>学期</w:t>
      </w:r>
      <w:r>
        <w:rPr>
          <w:rFonts w:hint="eastAsia" w:ascii="仿宋_GB2312" w:eastAsia="仿宋_GB2312"/>
          <w:color w:val="000000"/>
          <w:kern w:val="0"/>
          <w:sz w:val="32"/>
          <w:szCs w:val="32"/>
        </w:rPr>
        <w:t>的积累，老师和孩子在彼此的陪伴下共同成长着，孩子不断成长的过程也带给老师源源不断的幸福感。</w:t>
      </w:r>
    </w:p>
    <w:p>
      <w:pPr>
        <w:ind w:firstLine="640" w:firstLineChars="200"/>
        <w:rPr>
          <w:rFonts w:ascii="仿宋_GB2312" w:eastAsia="仿宋_GB2312"/>
          <w:color w:val="000000"/>
          <w:kern w:val="0"/>
          <w:sz w:val="32"/>
          <w:szCs w:val="32"/>
        </w:rPr>
      </w:pPr>
      <w:r>
        <w:rPr>
          <w:rFonts w:hint="eastAsia" w:ascii="仿宋_GB2312" w:eastAsia="仿宋_GB2312"/>
          <w:color w:val="000000"/>
          <w:kern w:val="0"/>
          <w:sz w:val="32"/>
          <w:szCs w:val="32"/>
        </w:rPr>
        <w:t>3.家长工作方面。家长在和园所的紧密联系中逐步建立起家园合力的良好态势，本学期家长义工活动有序开展、故事妈妈团成立并开展第一次的故事妈妈讲故事活动，接下来将利用每周一的晨间时光，故事妈妈入班讲绘本故事、开展每周一次故事会、线上晚安故事、全园绘本漂流等活动，让幼儿充分感受来自家庭、园所和社区多方对孩子的爱和呵护，在绘本故事中浸润童心，绘制美好。</w:t>
      </w:r>
    </w:p>
    <w:p>
      <w:pPr>
        <w:ind w:firstLine="642" w:firstLineChars="200"/>
        <w:rPr>
          <w:rFonts w:ascii="仿宋_GB2312" w:hAnsi="仿宋" w:eastAsia="仿宋_GB2312"/>
          <w:b/>
          <w:sz w:val="32"/>
          <w:szCs w:val="32"/>
        </w:rPr>
      </w:pPr>
      <w:r>
        <w:rPr>
          <w:rFonts w:hint="eastAsia" w:ascii="仿宋_GB2312" w:hAnsi="仿宋" w:eastAsia="仿宋_GB2312"/>
          <w:b/>
          <w:sz w:val="32"/>
          <w:szCs w:val="32"/>
        </w:rPr>
        <w:t>4.公平性</w:t>
      </w:r>
    </w:p>
    <w:p>
      <w:pPr>
        <w:pStyle w:val="2"/>
        <w:ind w:firstLine="640" w:firstLineChars="200"/>
        <w:jc w:val="left"/>
        <w:rPr>
          <w:rFonts w:ascii="仿宋_GB2312" w:hAnsi="仿宋" w:eastAsia="仿宋_GB2312"/>
          <w:bCs/>
          <w:sz w:val="32"/>
          <w:szCs w:val="32"/>
        </w:rPr>
      </w:pPr>
      <w:r>
        <w:rPr>
          <w:rFonts w:hint="eastAsia" w:ascii="仿宋_GB2312" w:hAnsi="仿宋" w:eastAsia="仿宋_GB2312"/>
          <w:bCs/>
          <w:sz w:val="32"/>
          <w:szCs w:val="32"/>
        </w:rPr>
        <w:t>我园已通过电话热线、信箱、微信公众号等渠道与群众互动交流、建立意见反映渠道以及群众意见办理回复机制，记录群众的各项咨询投诉问题，做好信访回复工作。</w:t>
      </w:r>
    </w:p>
    <w:p>
      <w:pPr>
        <w:ind w:firstLine="640" w:firstLineChars="200"/>
        <w:rPr>
          <w:rFonts w:ascii="黑体" w:hAnsi="黑体" w:eastAsia="黑体"/>
          <w:bCs/>
          <w:sz w:val="32"/>
          <w:szCs w:val="32"/>
        </w:rPr>
      </w:pPr>
      <w:r>
        <w:rPr>
          <w:rFonts w:hint="eastAsia" w:ascii="黑体" w:hAnsi="黑体" w:eastAsia="黑体"/>
          <w:bCs/>
          <w:sz w:val="32"/>
          <w:szCs w:val="32"/>
        </w:rPr>
        <w:t>三、总体评价和整改措施</w:t>
      </w:r>
    </w:p>
    <w:p>
      <w:pPr>
        <w:ind w:firstLine="642" w:firstLineChars="200"/>
        <w:rPr>
          <w:rFonts w:ascii="楷体" w:hAnsi="楷体" w:eastAsia="楷体"/>
          <w:b/>
          <w:bCs/>
          <w:sz w:val="32"/>
          <w:szCs w:val="32"/>
        </w:rPr>
      </w:pPr>
      <w:r>
        <w:rPr>
          <w:rFonts w:hint="eastAsia" w:ascii="楷体" w:hAnsi="楷体" w:eastAsia="楷体"/>
          <w:b/>
          <w:bCs/>
          <w:sz w:val="32"/>
          <w:szCs w:val="32"/>
        </w:rPr>
        <w:t>（一）预算绩效管理工作主要经验、做法。</w:t>
      </w:r>
    </w:p>
    <w:p>
      <w:pPr>
        <w:ind w:firstLine="640" w:firstLineChars="200"/>
        <w:rPr>
          <w:rFonts w:ascii="仿宋_GB2312" w:hAnsi="仿宋" w:eastAsia="仿宋_GB2312"/>
          <w:bCs/>
          <w:sz w:val="32"/>
          <w:szCs w:val="32"/>
        </w:rPr>
      </w:pPr>
      <w:r>
        <w:rPr>
          <w:rFonts w:ascii="仿宋_GB2312" w:hAnsi="仿宋" w:eastAsia="仿宋_GB2312"/>
          <w:bCs/>
          <w:sz w:val="32"/>
          <w:szCs w:val="32"/>
        </w:rPr>
        <w:t>1.2020</w:t>
      </w:r>
      <w:r>
        <w:rPr>
          <w:rFonts w:hint="eastAsia" w:ascii="仿宋_GB2312" w:hAnsi="仿宋" w:eastAsia="仿宋_GB2312"/>
          <w:bCs/>
          <w:sz w:val="32"/>
          <w:szCs w:val="32"/>
        </w:rPr>
        <w:t>年度我园在预算项目的执行做到按计划支出，跟进序时进度，预算项目实施规范合理，项目完成接受审计监督，反馈结果及时整改，实现预算绩效管理与预算执行、监督的有机结合。</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2.加强绩效目标管理，进一步扩大管理范围。绩效目标管理是预算绩效管理工作的基础，编制科学的绩效目标，能为以后部门预算执行和项目绩效评价提供基本依据。我园为2020年新办幼儿园，未申报的项目绩效目标，但在绩效自评前及时补充完善项目绩效目标，结合项目实际情况，对补充的项目绩效目标逐个进行审核，保证绩效目标编制质量。同时，进一步扩大管理范围，要求所有预算内拨款项目都编制绩效目标，实现绩效目标管理全覆盖。</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3.深化预算绩效评价</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绩效评价是预算绩效管理的核心，预算执行结束后，及时对预算资金产出和结果的经济性、效率性、效益性实施评价，有效提高了我园绩效评价的业务水平，增强了我园的绩效意识，规范了我园的支出行为。</w:t>
      </w:r>
    </w:p>
    <w:p>
      <w:pPr>
        <w:ind w:firstLine="642" w:firstLineChars="200"/>
        <w:rPr>
          <w:rFonts w:ascii="楷体" w:hAnsi="楷体" w:eastAsia="楷体"/>
          <w:b/>
          <w:bCs/>
          <w:sz w:val="32"/>
          <w:szCs w:val="32"/>
        </w:rPr>
      </w:pPr>
      <w:r>
        <w:rPr>
          <w:rFonts w:hint="eastAsia" w:ascii="楷体" w:hAnsi="楷体" w:eastAsia="楷体"/>
          <w:b/>
          <w:bCs/>
          <w:sz w:val="32"/>
          <w:szCs w:val="32"/>
        </w:rPr>
        <w:t>（二）部门整体支出绩效存在问题及改进措施。</w:t>
      </w:r>
    </w:p>
    <w:p>
      <w:pPr>
        <w:ind w:firstLine="642" w:firstLineChars="200"/>
        <w:rPr>
          <w:rFonts w:ascii="仿宋_GB2312" w:hAnsi="仿宋" w:eastAsia="仿宋_GB2312"/>
          <w:b/>
          <w:sz w:val="32"/>
          <w:szCs w:val="32"/>
        </w:rPr>
      </w:pPr>
      <w:r>
        <w:rPr>
          <w:rFonts w:hint="eastAsia" w:ascii="仿宋_GB2312" w:hAnsi="仿宋" w:eastAsia="仿宋_GB2312"/>
          <w:b/>
          <w:sz w:val="32"/>
          <w:szCs w:val="32"/>
        </w:rPr>
        <w:t>1.存在问题</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单位绩效理念有待加强。部分人员对绩效评价工作的认识还不够深入，工作缺乏指导，存在部门项目绩效目标设置存在填报内容不规范、绩效指标清晰、可衡量程度不足的情况。</w:t>
      </w:r>
    </w:p>
    <w:p>
      <w:pPr>
        <w:ind w:firstLine="642" w:firstLineChars="200"/>
        <w:rPr>
          <w:rFonts w:ascii="仿宋_GB2312" w:hAnsi="仿宋" w:eastAsia="仿宋_GB2312"/>
          <w:b/>
          <w:bCs/>
          <w:sz w:val="32"/>
          <w:szCs w:val="32"/>
        </w:rPr>
      </w:pPr>
      <w:r>
        <w:rPr>
          <w:rFonts w:ascii="仿宋_GB2312" w:hAnsi="仿宋" w:eastAsia="仿宋_GB2312"/>
          <w:b/>
          <w:bCs/>
          <w:sz w:val="32"/>
          <w:szCs w:val="32"/>
        </w:rPr>
        <w:t>2.</w:t>
      </w:r>
      <w:r>
        <w:rPr>
          <w:rFonts w:hint="eastAsia" w:ascii="仿宋_GB2312" w:hAnsi="仿宋" w:eastAsia="仿宋_GB2312"/>
          <w:b/>
          <w:bCs/>
          <w:sz w:val="32"/>
          <w:szCs w:val="32"/>
        </w:rPr>
        <w:t>改进措施</w:t>
      </w:r>
    </w:p>
    <w:p>
      <w:pPr>
        <w:ind w:firstLine="640" w:firstLineChars="200"/>
        <w:rPr>
          <w:rFonts w:ascii="仿宋_GB2312" w:hAnsi="仿宋" w:eastAsia="仿宋_GB2312"/>
          <w:bCs/>
          <w:sz w:val="32"/>
          <w:szCs w:val="32"/>
        </w:rPr>
      </w:pPr>
      <w:r>
        <w:rPr>
          <w:rFonts w:hint="eastAsia" w:ascii="仿宋_GB2312" w:hAnsi="仿宋" w:eastAsia="仿宋_GB2312"/>
          <w:bCs/>
          <w:sz w:val="32"/>
          <w:szCs w:val="32"/>
        </w:rPr>
        <w:t>进一步强化绩效管理思想，提高单位人员的绩效管理业务能力和管理水平。在绩效目标填报时，结合上级部门要求及往年工作情况，梳理明确各个项目实施计划、预期效果，资金测算等，对项目实施内容、预期完成效果有清晰的认知，对项目目标编制进行优化，提高绩效目标填写的科学性、合理性和规范性。</w:t>
      </w:r>
    </w:p>
    <w:p>
      <w:pPr>
        <w:ind w:firstLine="642" w:firstLineChars="200"/>
        <w:rPr>
          <w:rFonts w:ascii="楷体" w:hAnsi="楷体" w:eastAsia="楷体"/>
          <w:b/>
          <w:bCs/>
          <w:sz w:val="32"/>
          <w:szCs w:val="32"/>
        </w:rPr>
      </w:pPr>
      <w:r>
        <w:rPr>
          <w:rFonts w:hint="eastAsia" w:ascii="楷体" w:hAnsi="楷体" w:eastAsia="楷体"/>
          <w:b/>
          <w:bCs/>
          <w:sz w:val="32"/>
          <w:szCs w:val="32"/>
        </w:rPr>
        <w:t>（三）后续工作计划、相关建议等。</w:t>
      </w:r>
    </w:p>
    <w:p>
      <w:pPr>
        <w:ind w:firstLine="640" w:firstLineChars="200"/>
        <w:rPr>
          <w:rFonts w:ascii="仿宋_GB2312" w:hAnsi="仿宋" w:eastAsia="仿宋_GB2312"/>
          <w:bCs/>
          <w:sz w:val="32"/>
          <w:szCs w:val="32"/>
        </w:rPr>
      </w:pPr>
      <w:r>
        <w:rPr>
          <w:rFonts w:ascii="仿宋_GB2312" w:hAnsi="仿宋" w:eastAsia="仿宋_GB2312"/>
          <w:bCs/>
          <w:sz w:val="32"/>
          <w:szCs w:val="32"/>
        </w:rPr>
        <w:t>1.</w:t>
      </w:r>
      <w:r>
        <w:rPr>
          <w:rFonts w:hint="eastAsia" w:ascii="仿宋_GB2312" w:hAnsi="仿宋" w:eastAsia="仿宋_GB2312"/>
          <w:bCs/>
          <w:sz w:val="32"/>
          <w:szCs w:val="32"/>
        </w:rPr>
        <w:t>加强预算绩效目标管理工作。明确预算项目绩效目标编制要求，分类别建立科学合理、细化量化、可比可测、可动态调整项目预算绩效指标体系，突出结果导向</w:t>
      </w:r>
      <w:r>
        <w:rPr>
          <w:rFonts w:ascii="仿宋_GB2312" w:hAnsi="仿宋" w:eastAsia="仿宋_GB2312"/>
          <w:bCs/>
          <w:sz w:val="32"/>
          <w:szCs w:val="32"/>
        </w:rPr>
        <w:t>,</w:t>
      </w:r>
      <w:r>
        <w:rPr>
          <w:rFonts w:hint="eastAsia" w:ascii="仿宋_GB2312" w:hAnsi="仿宋" w:eastAsia="仿宋_GB2312"/>
          <w:bCs/>
          <w:sz w:val="32"/>
          <w:szCs w:val="32"/>
        </w:rPr>
        <w:t>重点考核实绩。实施预算执行进度及目标“双监控”，保障预算项目资金支出进度及绩效目标完成情况均能实时掌控，一旦发生偏离可及时采取应对措施，保障预算项目执行有效。</w:t>
      </w:r>
    </w:p>
    <w:p>
      <w:pPr>
        <w:ind w:firstLine="640" w:firstLineChars="200"/>
        <w:rPr>
          <w:rFonts w:ascii="仿宋_GB2312" w:hAnsi="仿宋" w:eastAsia="仿宋_GB2312"/>
          <w:bCs/>
          <w:sz w:val="32"/>
          <w:szCs w:val="32"/>
        </w:rPr>
      </w:pPr>
      <w:r>
        <w:rPr>
          <w:rFonts w:ascii="仿宋_GB2312" w:hAnsi="仿宋" w:eastAsia="仿宋_GB2312"/>
          <w:bCs/>
          <w:sz w:val="32"/>
          <w:szCs w:val="32"/>
        </w:rPr>
        <w:t>2.</w:t>
      </w:r>
      <w:r>
        <w:rPr>
          <w:rFonts w:hint="eastAsia" w:ascii="仿宋_GB2312" w:hAnsi="仿宋" w:eastAsia="仿宋_GB2312"/>
          <w:bCs/>
          <w:sz w:val="32"/>
          <w:szCs w:val="32"/>
        </w:rPr>
        <w:t>继续完善预算绩效管理相关工作制度，形成绩效管理手册或者实施细则等可操作的指引文件，借助第三方专业机构力量，贯彻落实全面预算绩效管理工作，建立全过程预算绩效管理链条，将事前绩效评估、预算绩效目标管理、监控、评价以及应用各环节紧密贯通。</w:t>
      </w:r>
    </w:p>
    <w:p>
      <w:pPr>
        <w:ind w:firstLine="800" w:firstLineChars="250"/>
        <w:rPr>
          <w:rFonts w:ascii="黑体" w:hAnsi="黑体" w:eastAsia="黑体"/>
          <w:sz w:val="32"/>
          <w:szCs w:val="32"/>
        </w:rPr>
      </w:pPr>
      <w:r>
        <w:rPr>
          <w:rFonts w:hint="eastAsia" w:ascii="黑体" w:hAnsi="黑体" w:eastAsia="黑体"/>
          <w:sz w:val="32"/>
          <w:szCs w:val="32"/>
        </w:rPr>
        <w:t>四、部门整体支出绩效评价指标评分情况</w:t>
      </w:r>
    </w:p>
    <w:p>
      <w:pPr>
        <w:ind w:firstLine="640" w:firstLineChars="200"/>
        <w:rPr>
          <w:rFonts w:ascii="仿宋_GB2312" w:hAnsi="Calibri" w:eastAsia="仿宋_GB2312"/>
          <w:sz w:val="32"/>
          <w:szCs w:val="32"/>
        </w:rPr>
      </w:pPr>
      <w:r>
        <w:rPr>
          <w:rFonts w:hint="eastAsia" w:ascii="仿宋_GB2312" w:hAnsi="Calibri" w:eastAsia="仿宋_GB2312"/>
          <w:sz w:val="32"/>
          <w:szCs w:val="32"/>
        </w:rPr>
        <w:t>我园参照《部门整体支出绩效评价共性指标体系框架（</w:t>
      </w:r>
      <w:r>
        <w:rPr>
          <w:rFonts w:ascii="仿宋_GB2312" w:hAnsi="Calibri" w:eastAsia="仿宋_GB2312"/>
          <w:sz w:val="32"/>
          <w:szCs w:val="32"/>
        </w:rPr>
        <w:t>2020</w:t>
      </w:r>
      <w:r>
        <w:rPr>
          <w:rFonts w:hint="eastAsia" w:ascii="仿宋_GB2312" w:hAnsi="Calibri" w:eastAsia="仿宋_GB2312"/>
          <w:sz w:val="32"/>
          <w:szCs w:val="32"/>
        </w:rPr>
        <w:t>年度）》进行自评，总体得分97分，具体得分情况如下。</w:t>
      </w:r>
    </w:p>
    <w:p>
      <w:pPr>
        <w:ind w:firstLine="800" w:firstLineChars="250"/>
        <w:rPr>
          <w:rFonts w:ascii="仿宋_GB2312" w:eastAsia="仿宋_GB2312"/>
          <w:sz w:val="32"/>
          <w:szCs w:val="32"/>
        </w:rPr>
        <w:sectPr>
          <w:pgSz w:w="11906" w:h="16838"/>
          <w:pgMar w:top="1440" w:right="1800" w:bottom="1440" w:left="1800" w:header="851" w:footer="992" w:gutter="0"/>
          <w:cols w:space="425" w:num="1"/>
          <w:docGrid w:type="lines" w:linePitch="312" w:charSpace="0"/>
        </w:sectPr>
      </w:pPr>
    </w:p>
    <w:p>
      <w:pPr>
        <w:tabs>
          <w:tab w:val="center" w:pos="6979"/>
        </w:tabs>
        <w:spacing w:line="620" w:lineRule="exact"/>
        <w:jc w:val="left"/>
        <w:rPr>
          <w:rFonts w:ascii="仿宋_GB2312" w:eastAsia="仿宋_GB2312"/>
          <w:sz w:val="28"/>
          <w:szCs w:val="28"/>
        </w:rPr>
      </w:pPr>
      <w:r>
        <w:rPr>
          <w:rFonts w:hint="eastAsia" w:ascii="仿宋_GB2312" w:eastAsia="仿宋_GB2312" w:cs="仿宋_GB2312"/>
          <w:sz w:val="28"/>
          <w:szCs w:val="28"/>
        </w:rPr>
        <w:t>附件：</w:t>
      </w:r>
    </w:p>
    <w:p>
      <w:pPr>
        <w:tabs>
          <w:tab w:val="center" w:pos="6979"/>
        </w:tabs>
        <w:spacing w:line="620" w:lineRule="exact"/>
        <w:jc w:val="center"/>
        <w:rPr>
          <w:sz w:val="28"/>
          <w:szCs w:val="28"/>
        </w:rPr>
      </w:pPr>
      <w:r>
        <w:rPr>
          <w:rFonts w:hint="eastAsia" w:ascii="方正小标宋简体" w:eastAsia="方正小标宋简体" w:cs="方正小标宋简体"/>
          <w:sz w:val="30"/>
          <w:szCs w:val="30"/>
        </w:rPr>
        <w:t>部门整体支出绩效评价共性指标体系框架（</w:t>
      </w:r>
      <w:r>
        <w:rPr>
          <w:rFonts w:ascii="方正小标宋简体" w:eastAsia="方正小标宋简体" w:cs="方正小标宋简体"/>
          <w:sz w:val="30"/>
          <w:szCs w:val="30"/>
        </w:rPr>
        <w:t>20</w:t>
      </w:r>
      <w:r>
        <w:rPr>
          <w:rFonts w:hint="eastAsia" w:ascii="方正小标宋简体" w:eastAsia="方正小标宋简体" w:cs="方正小标宋简体"/>
          <w:sz w:val="30"/>
          <w:szCs w:val="30"/>
        </w:rPr>
        <w:t>20年修订）</w:t>
      </w:r>
    </w:p>
    <w:tbl>
      <w:tblPr>
        <w:tblStyle w:val="8"/>
        <w:tblW w:w="15163" w:type="dxa"/>
        <w:tblInd w:w="0" w:type="dxa"/>
        <w:tblLayout w:type="fixed"/>
        <w:tblCellMar>
          <w:top w:w="0" w:type="dxa"/>
          <w:left w:w="108" w:type="dxa"/>
          <w:bottom w:w="0" w:type="dxa"/>
          <w:right w:w="108" w:type="dxa"/>
        </w:tblCellMar>
      </w:tblPr>
      <w:tblGrid>
        <w:gridCol w:w="577"/>
        <w:gridCol w:w="567"/>
        <w:gridCol w:w="567"/>
        <w:gridCol w:w="567"/>
        <w:gridCol w:w="851"/>
        <w:gridCol w:w="567"/>
        <w:gridCol w:w="2536"/>
        <w:gridCol w:w="5812"/>
        <w:gridCol w:w="822"/>
        <w:gridCol w:w="2297"/>
      </w:tblGrid>
      <w:tr>
        <w:trPr>
          <w:trHeight w:val="180" w:hRule="atLeast"/>
          <w:tblHeader/>
        </w:trPr>
        <w:tc>
          <w:tcPr>
            <w:tcW w:w="3696" w:type="dxa"/>
            <w:gridSpan w:val="6"/>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评价指标</w:t>
            </w:r>
          </w:p>
        </w:tc>
        <w:tc>
          <w:tcPr>
            <w:tcW w:w="2536"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指标说明</w:t>
            </w:r>
          </w:p>
        </w:tc>
        <w:tc>
          <w:tcPr>
            <w:tcW w:w="5812"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参考评分标准</w:t>
            </w:r>
          </w:p>
        </w:tc>
        <w:tc>
          <w:tcPr>
            <w:tcW w:w="822" w:type="dxa"/>
            <w:vMerge w:val="restart"/>
            <w:tcBorders>
              <w:top w:val="single" w:color="auto" w:sz="4" w:space="0"/>
              <w:left w:val="nil"/>
              <w:right w:val="single" w:color="auto" w:sz="4" w:space="0"/>
            </w:tcBorders>
            <w:vAlign w:val="center"/>
          </w:tcPr>
          <w:p>
            <w:pPr>
              <w:spacing w:line="320" w:lineRule="exact"/>
              <w:jc w:val="center"/>
              <w:rPr>
                <w:rFonts w:ascii="黑体" w:hAnsi="黑体" w:eastAsia="黑体" w:cs="黑体"/>
                <w:kern w:val="0"/>
              </w:rPr>
            </w:pPr>
            <w:r>
              <w:rPr>
                <w:rFonts w:hint="eastAsia" w:ascii="黑体" w:hAnsi="黑体" w:eastAsia="黑体"/>
                <w:kern w:val="0"/>
                <w:szCs w:val="21"/>
              </w:rPr>
              <w:t>得分情况</w:t>
            </w:r>
          </w:p>
        </w:tc>
        <w:tc>
          <w:tcPr>
            <w:tcW w:w="2297" w:type="dxa"/>
            <w:vMerge w:val="restart"/>
            <w:tcBorders>
              <w:top w:val="single" w:color="auto" w:sz="4" w:space="0"/>
              <w:left w:val="nil"/>
              <w:right w:val="single" w:color="auto" w:sz="4" w:space="0"/>
            </w:tcBorders>
            <w:vAlign w:val="center"/>
          </w:tcPr>
          <w:p>
            <w:pPr>
              <w:spacing w:line="320" w:lineRule="exact"/>
              <w:jc w:val="center"/>
              <w:rPr>
                <w:rFonts w:ascii="黑体" w:hAnsi="黑体" w:eastAsia="黑体" w:cs="黑体"/>
                <w:kern w:val="0"/>
              </w:rPr>
            </w:pPr>
            <w:r>
              <w:rPr>
                <w:rFonts w:hint="eastAsia" w:ascii="黑体" w:hAnsi="黑体" w:eastAsia="黑体"/>
                <w:kern w:val="0"/>
                <w:szCs w:val="21"/>
              </w:rPr>
              <w:t>扣分</w:t>
            </w:r>
            <w:r>
              <w:rPr>
                <w:rFonts w:hint="eastAsia" w:ascii="黑体" w:hAnsi="黑体" w:eastAsia="黑体"/>
                <w:kern w:val="0"/>
              </w:rPr>
              <w:t>情况及整改情况说明</w:t>
            </w:r>
          </w:p>
        </w:tc>
      </w:tr>
      <w:tr>
        <w:tblPrEx>
          <w:tblCellMar>
            <w:top w:w="0" w:type="dxa"/>
            <w:left w:w="108" w:type="dxa"/>
            <w:bottom w:w="0" w:type="dxa"/>
            <w:right w:w="108" w:type="dxa"/>
          </w:tblCellMar>
        </w:tblPrEx>
        <w:trPr>
          <w:trHeight w:val="463" w:hRule="atLeast"/>
          <w:tblHeader/>
        </w:trPr>
        <w:tc>
          <w:tcPr>
            <w:tcW w:w="1144" w:type="dxa"/>
            <w:gridSpan w:val="2"/>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一级指标</w:t>
            </w:r>
          </w:p>
        </w:tc>
        <w:tc>
          <w:tcPr>
            <w:tcW w:w="1134"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二级指标</w:t>
            </w:r>
          </w:p>
        </w:tc>
        <w:tc>
          <w:tcPr>
            <w:tcW w:w="1418"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三级指标</w:t>
            </w:r>
          </w:p>
        </w:tc>
        <w:tc>
          <w:tcPr>
            <w:tcW w:w="2536"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5812"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822" w:type="dxa"/>
            <w:vMerge w:val="continue"/>
            <w:tcBorders>
              <w:left w:val="nil"/>
              <w:right w:val="single" w:color="auto" w:sz="4" w:space="0"/>
            </w:tcBorders>
          </w:tcPr>
          <w:p>
            <w:pPr>
              <w:spacing w:line="320" w:lineRule="exact"/>
              <w:jc w:val="center"/>
              <w:rPr>
                <w:rFonts w:ascii="黑体" w:hAnsi="黑体" w:eastAsia="黑体"/>
                <w:kern w:val="0"/>
                <w:sz w:val="15"/>
                <w:szCs w:val="15"/>
              </w:rPr>
            </w:pPr>
          </w:p>
        </w:tc>
        <w:tc>
          <w:tcPr>
            <w:tcW w:w="2297" w:type="dxa"/>
            <w:vMerge w:val="continue"/>
            <w:tcBorders>
              <w:left w:val="nil"/>
              <w:right w:val="single" w:color="auto" w:sz="4" w:space="0"/>
            </w:tcBorders>
          </w:tcPr>
          <w:p>
            <w:pPr>
              <w:spacing w:line="320" w:lineRule="exact"/>
              <w:jc w:val="center"/>
              <w:rPr>
                <w:rFonts w:ascii="黑体" w:hAnsi="黑体" w:eastAsia="黑体"/>
                <w:kern w:val="0"/>
                <w:sz w:val="15"/>
                <w:szCs w:val="15"/>
              </w:rPr>
            </w:pPr>
          </w:p>
        </w:tc>
      </w:tr>
      <w:tr>
        <w:tblPrEx>
          <w:tblCellMar>
            <w:top w:w="0" w:type="dxa"/>
            <w:left w:w="108" w:type="dxa"/>
            <w:bottom w:w="0" w:type="dxa"/>
            <w:right w:w="108" w:type="dxa"/>
          </w:tblCellMar>
        </w:tblPrEx>
        <w:trPr>
          <w:trHeight w:val="774" w:hRule="atLeast"/>
          <w:tblHeader/>
        </w:trPr>
        <w:tc>
          <w:tcPr>
            <w:tcW w:w="577" w:type="dxa"/>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851"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2536"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5812"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822" w:type="dxa"/>
            <w:vMerge w:val="continue"/>
            <w:tcBorders>
              <w:left w:val="nil"/>
              <w:bottom w:val="single" w:color="auto" w:sz="4" w:space="0"/>
              <w:right w:val="single" w:color="auto" w:sz="4" w:space="0"/>
            </w:tcBorders>
          </w:tcPr>
          <w:p>
            <w:pPr>
              <w:widowControl/>
              <w:spacing w:line="320" w:lineRule="exact"/>
              <w:jc w:val="center"/>
              <w:rPr>
                <w:rFonts w:ascii="黑体" w:hAnsi="黑体" w:eastAsia="黑体"/>
                <w:kern w:val="0"/>
                <w:szCs w:val="21"/>
              </w:rPr>
            </w:pPr>
          </w:p>
        </w:tc>
        <w:tc>
          <w:tcPr>
            <w:tcW w:w="2297" w:type="dxa"/>
            <w:vMerge w:val="continue"/>
            <w:tcBorders>
              <w:left w:val="nil"/>
              <w:bottom w:val="single" w:color="auto" w:sz="4" w:space="0"/>
              <w:right w:val="single" w:color="auto" w:sz="4" w:space="0"/>
            </w:tcBorders>
          </w:tcPr>
          <w:p>
            <w:pPr>
              <w:widowControl/>
              <w:spacing w:line="320" w:lineRule="exact"/>
              <w:jc w:val="center"/>
              <w:rPr>
                <w:rFonts w:ascii="黑体" w:hAnsi="黑体" w:eastAsia="黑体"/>
                <w:kern w:val="0"/>
                <w:szCs w:val="21"/>
              </w:rPr>
            </w:pPr>
          </w:p>
        </w:tc>
      </w:tr>
      <w:tr>
        <w:tblPrEx>
          <w:tblCellMar>
            <w:top w:w="0" w:type="dxa"/>
            <w:left w:w="108" w:type="dxa"/>
            <w:bottom w:w="0" w:type="dxa"/>
            <w:right w:w="108" w:type="dxa"/>
          </w:tblCellMar>
        </w:tblPrEx>
        <w:trPr>
          <w:trHeight w:val="3741"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部门决策</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25</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预算编制</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10</w:t>
            </w: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预算编制合理性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5</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部门（单位）预算的合理性，即是否符合本部门职责、是否符合</w:t>
            </w:r>
            <w:r>
              <w:rPr>
                <w:rFonts w:hint="eastAsia" w:ascii="宋体" w:hAnsi="宋体" w:cs="宋体"/>
                <w:kern w:val="0"/>
                <w:lang w:eastAsia="zh-CN"/>
              </w:rPr>
              <w:t>新区党工委、管委会</w:t>
            </w:r>
            <w:r>
              <w:rPr>
                <w:rFonts w:hint="eastAsia" w:ascii="宋体" w:hAnsi="宋体" w:cs="宋体"/>
                <w:kern w:val="0"/>
              </w:rPr>
              <w:t>的方针政策和工作要求，资金有无根据项目的轻重缓急进行分配。</w:t>
            </w:r>
          </w:p>
        </w:tc>
        <w:tc>
          <w:tcPr>
            <w:tcW w:w="5812"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ascii="宋体" w:hAnsi="宋体" w:cs="宋体"/>
                <w:kern w:val="0"/>
              </w:rPr>
              <w:t xml:space="preserve">   1.</w:t>
            </w:r>
            <w:r>
              <w:rPr>
                <w:rFonts w:hint="eastAsia" w:ascii="宋体" w:hAnsi="宋体" w:cs="宋体"/>
                <w:kern w:val="0"/>
              </w:rPr>
              <w:t>部门预算编制、分配符合本部门职责、符合</w:t>
            </w:r>
            <w:r>
              <w:rPr>
                <w:rFonts w:hint="eastAsia" w:ascii="宋体" w:hAnsi="宋体" w:cs="宋体"/>
                <w:kern w:val="0"/>
                <w:lang w:eastAsia="zh-CN"/>
              </w:rPr>
              <w:t>新区党工委、管委会</w:t>
            </w:r>
            <w:r>
              <w:rPr>
                <w:rFonts w:hint="eastAsia" w:ascii="宋体" w:hAnsi="宋体" w:cs="宋体"/>
                <w:kern w:val="0"/>
              </w:rPr>
              <w:t>方针政策和工作要求（</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部门预算资金能根据年度工作重点，在不同项目、不同用途之间合理分配（</w:t>
            </w:r>
            <w:r>
              <w:rPr>
                <w:rFonts w:ascii="宋体" w:hAnsi="宋体" w:cs="宋体"/>
                <w:kern w:val="0"/>
              </w:rPr>
              <w:t>1</w:t>
            </w:r>
            <w:r>
              <w:rPr>
                <w:rFonts w:hint="eastAsia" w:ascii="宋体" w:hAnsi="宋体" w:cs="宋体"/>
                <w:kern w:val="0"/>
              </w:rPr>
              <w:t>分）；</w:t>
            </w:r>
            <w:r>
              <w:rPr>
                <w:rFonts w:ascii="宋体" w:hAnsi="宋体" w:cs="宋体"/>
                <w:kern w:val="0"/>
              </w:rPr>
              <w:br w:type="textWrapping"/>
            </w:r>
            <w:r>
              <w:rPr>
                <w:rFonts w:ascii="宋体" w:hAnsi="宋体" w:cs="宋体"/>
                <w:kern w:val="0"/>
              </w:rPr>
              <w:t xml:space="preserve">   3.</w:t>
            </w:r>
            <w:r>
              <w:rPr>
                <w:rFonts w:hint="eastAsia" w:ascii="宋体" w:hAnsi="宋体" w:cs="宋体"/>
                <w:kern w:val="0"/>
              </w:rPr>
              <w:t>专项资金预算编制细化程度合理，未出现因年中调剂导致部门预决算差异过大问题（</w:t>
            </w:r>
            <w:r>
              <w:rPr>
                <w:rFonts w:ascii="宋体" w:hAnsi="宋体" w:cs="宋体"/>
                <w:kern w:val="0"/>
              </w:rPr>
              <w:t>1</w:t>
            </w:r>
            <w:r>
              <w:rPr>
                <w:rFonts w:hint="eastAsia" w:ascii="宋体" w:hAnsi="宋体" w:cs="宋体"/>
                <w:kern w:val="0"/>
              </w:rPr>
              <w:t>分）；</w:t>
            </w:r>
            <w:r>
              <w:rPr>
                <w:rFonts w:ascii="宋体" w:hAnsi="宋体" w:cs="宋体"/>
                <w:kern w:val="0"/>
              </w:rPr>
              <w:br w:type="textWrapping"/>
            </w:r>
            <w:r>
              <w:rPr>
                <w:rFonts w:ascii="宋体" w:hAnsi="宋体" w:cs="宋体"/>
                <w:kern w:val="0"/>
              </w:rPr>
              <w:t xml:space="preserve">   4.</w:t>
            </w:r>
            <w:r>
              <w:rPr>
                <w:rFonts w:hint="eastAsia" w:ascii="宋体" w:hAnsi="宋体" w:cs="宋体"/>
                <w:kern w:val="0"/>
              </w:rPr>
              <w:t>功能分类和经济分类编制准确，年度中间无大量调剂，未发生项目之间频繁调剂（</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5.</w:t>
            </w:r>
            <w:r>
              <w:rPr>
                <w:rFonts w:hint="eastAsia" w:ascii="宋体" w:hAnsi="宋体" w:cs="宋体"/>
                <w:kern w:val="0"/>
              </w:rPr>
              <w:t>部门预算分配不固化，能根据实际情况合理调整，不存在项目支出进度慢、完成率低、绩效较差，但连年持续安排预算等不合理的情况（</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5</w:t>
            </w:r>
          </w:p>
        </w:tc>
        <w:tc>
          <w:tcPr>
            <w:tcW w:w="2297" w:type="dxa"/>
            <w:tcBorders>
              <w:top w:val="nil"/>
              <w:left w:val="nil"/>
              <w:bottom w:val="single" w:color="auto" w:sz="4" w:space="0"/>
              <w:right w:val="single" w:color="auto" w:sz="4" w:space="0"/>
            </w:tcBorders>
          </w:tcPr>
          <w:p>
            <w:pPr>
              <w:widowControl/>
              <w:spacing w:line="300" w:lineRule="exact"/>
              <w:jc w:val="left"/>
              <w:rPr>
                <w:rFonts w:ascii="宋体" w:hAnsi="宋体" w:cs="宋体"/>
                <w:kern w:val="0"/>
              </w:rPr>
            </w:pPr>
          </w:p>
        </w:tc>
      </w:tr>
      <w:tr>
        <w:tblPrEx>
          <w:tblCellMar>
            <w:top w:w="0" w:type="dxa"/>
            <w:left w:w="108" w:type="dxa"/>
            <w:bottom w:w="0" w:type="dxa"/>
            <w:right w:w="108" w:type="dxa"/>
          </w:tblCellMar>
        </w:tblPrEx>
        <w:trPr>
          <w:trHeight w:val="168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预算编制规范性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5</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部门（单位）预算编制是否符合财政部门当年度关于预算编制在规范性、完整性、细化程度等方面的原则和要求。</w:t>
            </w:r>
          </w:p>
        </w:tc>
        <w:tc>
          <w:tcPr>
            <w:tcW w:w="5812" w:type="dxa"/>
            <w:tcBorders>
              <w:top w:val="nil"/>
              <w:left w:val="nil"/>
              <w:bottom w:val="single" w:color="auto" w:sz="4" w:space="0"/>
              <w:right w:val="single" w:color="auto" w:sz="4" w:space="0"/>
            </w:tcBorders>
          </w:tcPr>
          <w:p>
            <w:pPr>
              <w:widowControl/>
              <w:spacing w:line="300" w:lineRule="exact"/>
              <w:ind w:firstLine="315" w:firstLineChars="150"/>
              <w:jc w:val="left"/>
              <w:rPr>
                <w:rFonts w:ascii="宋体"/>
                <w:kern w:val="0"/>
              </w:rPr>
            </w:pPr>
            <w:r>
              <w:rPr>
                <w:rFonts w:ascii="宋体" w:hAnsi="宋体" w:cs="宋体"/>
                <w:kern w:val="0"/>
              </w:rPr>
              <w:t>1.</w:t>
            </w:r>
            <w:r>
              <w:rPr>
                <w:rFonts w:hint="eastAsia" w:ascii="宋体" w:hAnsi="宋体" w:cs="宋体"/>
                <w:kern w:val="0"/>
              </w:rPr>
              <w:t>部门（单位）预算编制符合财政部门当年度关于预算编制的各项原则和要求，符合专项资金预算编制、项目库管理、新增项目事前绩效评估等要求（</w:t>
            </w:r>
            <w:r>
              <w:rPr>
                <w:rFonts w:ascii="宋体" w:hAnsi="宋体" w:cs="宋体"/>
                <w:kern w:val="0"/>
              </w:rPr>
              <w:t>5</w:t>
            </w:r>
            <w:r>
              <w:rPr>
                <w:rFonts w:hint="eastAsia" w:ascii="宋体" w:hAnsi="宋体" w:cs="宋体"/>
                <w:kern w:val="0"/>
              </w:rPr>
              <w:t>分）；</w:t>
            </w:r>
          </w:p>
          <w:p>
            <w:pPr>
              <w:widowControl/>
              <w:spacing w:line="300" w:lineRule="exact"/>
              <w:ind w:firstLine="315" w:firstLineChars="150"/>
              <w:jc w:val="left"/>
              <w:rPr>
                <w:rFonts w:ascii="宋体"/>
                <w:kern w:val="0"/>
              </w:rPr>
            </w:pPr>
            <w:r>
              <w:rPr>
                <w:rFonts w:ascii="宋体" w:hAnsi="宋体" w:cs="宋体"/>
                <w:kern w:val="0"/>
              </w:rPr>
              <w:t>2.</w:t>
            </w:r>
            <w:r>
              <w:rPr>
                <w:rFonts w:hint="eastAsia" w:ascii="宋体" w:hAnsi="宋体" w:cs="宋体"/>
                <w:kern w:val="0"/>
              </w:rPr>
              <w:t>发现一项不符合的扣</w:t>
            </w:r>
            <w:r>
              <w:rPr>
                <w:rFonts w:ascii="宋体" w:hAnsi="宋体" w:cs="宋体"/>
                <w:kern w:val="0"/>
              </w:rPr>
              <w:t>1</w:t>
            </w:r>
            <w:r>
              <w:rPr>
                <w:rFonts w:hint="eastAsia" w:ascii="宋体" w:hAnsi="宋体" w:cs="宋体"/>
                <w:kern w:val="0"/>
              </w:rPr>
              <w:t>分，扣完为止。</w:t>
            </w:r>
          </w:p>
          <w:p>
            <w:pPr>
              <w:widowControl/>
              <w:spacing w:line="300" w:lineRule="exact"/>
              <w:ind w:firstLine="315" w:firstLineChars="150"/>
              <w:jc w:val="left"/>
              <w:rPr>
                <w:rFonts w:ascii="宋体"/>
                <w:kern w:val="0"/>
              </w:rPr>
            </w:pPr>
            <w:r>
              <w:rPr>
                <w:rFonts w:hint="eastAsia" w:ascii="宋体" w:hAnsi="宋体" w:cs="宋体"/>
                <w:kern w:val="0"/>
              </w:rPr>
              <w:t>本指标需对照相应年度由财政部门印发的部门预算编制工作方案、通知和有关制度文件，根据实际情况评分。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5</w:t>
            </w:r>
          </w:p>
        </w:tc>
        <w:tc>
          <w:tcPr>
            <w:tcW w:w="2297" w:type="dxa"/>
            <w:tcBorders>
              <w:top w:val="nil"/>
              <w:left w:val="nil"/>
              <w:bottom w:val="single" w:color="auto" w:sz="4" w:space="0"/>
              <w:right w:val="single" w:color="auto" w:sz="4" w:space="0"/>
            </w:tcBorders>
          </w:tcPr>
          <w:p>
            <w:pPr>
              <w:widowControl/>
              <w:spacing w:line="300" w:lineRule="exact"/>
              <w:ind w:firstLine="315" w:firstLineChars="150"/>
              <w:jc w:val="left"/>
              <w:rPr>
                <w:rFonts w:ascii="宋体" w:hAnsi="宋体" w:cs="宋体"/>
                <w:kern w:val="0"/>
              </w:rPr>
            </w:pPr>
          </w:p>
        </w:tc>
      </w:tr>
      <w:tr>
        <w:tblPrEx>
          <w:tblCellMar>
            <w:top w:w="0" w:type="dxa"/>
            <w:left w:w="108" w:type="dxa"/>
            <w:bottom w:w="0" w:type="dxa"/>
            <w:right w:w="108" w:type="dxa"/>
          </w:tblCellMar>
        </w:tblPrEx>
        <w:trPr>
          <w:trHeight w:val="162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目标设置</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15</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绩效目标完整性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部门（单位）是否按要求编报项目绩效目标，是否依据充分、内容完整、覆盖全面、符合实际。</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部门（单位）按要求编报部门整体和项目的绩效目标，实现绩效目标全覆盖（</w:t>
            </w:r>
            <w:r>
              <w:rPr>
                <w:rFonts w:ascii="宋体" w:hAnsi="宋体" w:cs="宋体"/>
                <w:kern w:val="0"/>
              </w:rPr>
              <w:t>8</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2.</w:t>
            </w:r>
            <w:r>
              <w:rPr>
                <w:rFonts w:hint="eastAsia" w:ascii="宋体" w:hAnsi="宋体" w:cs="宋体"/>
                <w:kern w:val="0"/>
              </w:rPr>
              <w:t>没按要求编报绩效目标或绩效目标不符合要求的，一项扣</w:t>
            </w:r>
            <w:r>
              <w:rPr>
                <w:rFonts w:ascii="宋体" w:hAnsi="宋体" w:cs="宋体"/>
                <w:kern w:val="0"/>
              </w:rPr>
              <w:t>1</w:t>
            </w:r>
            <w:r>
              <w:rPr>
                <w:rFonts w:hint="eastAsia" w:ascii="宋体" w:hAnsi="宋体" w:cs="宋体"/>
                <w:kern w:val="0"/>
              </w:rPr>
              <w:t>分，扣完为止。</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8</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41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绩效指标明确性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7</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部门（单位）设定的绩效指标是否清晰、细化、可量化，用以反映和考核部门（单位）整体绩效目标的明细化情况。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rPr>
            </w:pPr>
            <w:r>
              <w:rPr>
                <w:rFonts w:ascii="宋体" w:hAnsi="宋体" w:cs="宋体"/>
                <w:kern w:val="0"/>
              </w:rPr>
              <w:t>1.</w:t>
            </w:r>
            <w:r>
              <w:rPr>
                <w:rFonts w:hint="eastAsia" w:ascii="宋体" w:hAnsi="宋体" w:cs="宋体"/>
                <w:kern w:val="0"/>
              </w:rPr>
              <w:t>绩效指标将部门整体绩效目标细化分解为具体工作任务，与部门年度任务数或计划数相对应（</w:t>
            </w:r>
            <w:r>
              <w:rPr>
                <w:rFonts w:ascii="宋体" w:hAnsi="宋体" w:cs="宋体"/>
                <w:kern w:val="0"/>
              </w:rPr>
              <w:t>2</w:t>
            </w:r>
            <w:r>
              <w:rPr>
                <w:rFonts w:hint="eastAsia" w:ascii="宋体" w:hAnsi="宋体" w:cs="宋体"/>
                <w:kern w:val="0"/>
              </w:rPr>
              <w:t>分）；</w:t>
            </w:r>
          </w:p>
          <w:p>
            <w:pPr>
              <w:widowControl/>
              <w:spacing w:line="320" w:lineRule="exact"/>
              <w:ind w:firstLine="420" w:firstLineChars="200"/>
              <w:rPr>
                <w:rFonts w:ascii="宋体"/>
                <w:kern w:val="0"/>
              </w:rPr>
            </w:pPr>
            <w:r>
              <w:rPr>
                <w:rFonts w:ascii="宋体" w:hAnsi="宋体" w:cs="宋体"/>
                <w:kern w:val="0"/>
              </w:rPr>
              <w:t>2.</w:t>
            </w:r>
            <w:r>
              <w:rPr>
                <w:rFonts w:hint="eastAsia" w:ascii="宋体" w:hAnsi="宋体" w:cs="宋体"/>
                <w:kern w:val="0"/>
              </w:rPr>
              <w:t>绩效指标中包含能够明确体现部门（单位）履职效果的社会、经济、生态效益指标（</w:t>
            </w:r>
            <w:r>
              <w:rPr>
                <w:rFonts w:ascii="宋体" w:hAnsi="宋体" w:cs="宋体"/>
                <w:kern w:val="0"/>
              </w:rPr>
              <w:t>2</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hint="eastAsia" w:ascii="宋体" w:hAnsi="宋体" w:cs="宋体"/>
                <w:kern w:val="0"/>
              </w:rPr>
              <w:t>绩效指标具有清晰、可衡量的指标值（</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4</w:t>
            </w:r>
            <w:r>
              <w:rPr>
                <w:rFonts w:ascii="宋体" w:cs="宋体"/>
                <w:kern w:val="0"/>
              </w:rPr>
              <w:t>.</w:t>
            </w:r>
            <w:r>
              <w:rPr>
                <w:rFonts w:hint="eastAsia" w:ascii="宋体" w:hAnsi="宋体" w:cs="宋体"/>
                <w:kern w:val="0"/>
              </w:rPr>
              <w:t>绩效指标包含可量化的指标（</w:t>
            </w:r>
            <w:r>
              <w:rPr>
                <w:rFonts w:ascii="宋体" w:hAnsi="宋体" w:cs="宋体"/>
                <w:kern w:val="0"/>
              </w:rPr>
              <w:t>1</w:t>
            </w:r>
            <w:r>
              <w:rPr>
                <w:rFonts w:hint="eastAsia" w:ascii="宋体" w:hAnsi="宋体" w:cs="宋体"/>
                <w:kern w:val="0"/>
              </w:rPr>
              <w:t>分）；</w:t>
            </w:r>
          </w:p>
          <w:p>
            <w:pPr>
              <w:widowControl/>
              <w:spacing w:line="320" w:lineRule="exact"/>
              <w:rPr>
                <w:rFonts w:ascii="宋体"/>
                <w:kern w:val="0"/>
              </w:rPr>
            </w:pPr>
            <w:r>
              <w:rPr>
                <w:rFonts w:ascii="宋体" w:hAnsi="宋体" w:cs="宋体"/>
                <w:kern w:val="0"/>
              </w:rPr>
              <w:t xml:space="preserve">    5</w:t>
            </w:r>
            <w:r>
              <w:rPr>
                <w:rFonts w:ascii="宋体" w:cs="宋体"/>
                <w:kern w:val="0"/>
              </w:rPr>
              <w:t>.</w:t>
            </w:r>
            <w:r>
              <w:rPr>
                <w:rFonts w:hint="eastAsia" w:ascii="宋体" w:hAnsi="宋体" w:cs="宋体"/>
                <w:kern w:val="0"/>
              </w:rPr>
              <w:t>绩效目标的目标值测算能提供相关依据或符合客观实际情况（</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r>
              <w:rPr>
                <w:rFonts w:hint="eastAsia" w:ascii="宋体" w:hAnsi="宋体" w:cs="宋体"/>
                <w:kern w:val="0"/>
              </w:rPr>
              <w:t>扣分原因：我园第一年开展预算绩效管理工作，在绩效目标设置上清晰、可衡量程度不足。</w:t>
            </w:r>
          </w:p>
          <w:p>
            <w:pPr>
              <w:widowControl/>
              <w:spacing w:line="320" w:lineRule="exact"/>
              <w:rPr>
                <w:rFonts w:ascii="宋体" w:hAnsi="宋体" w:cs="宋体"/>
                <w:kern w:val="0"/>
              </w:rPr>
            </w:pPr>
            <w:r>
              <w:rPr>
                <w:rFonts w:hint="eastAsia" w:ascii="宋体" w:hAnsi="宋体" w:cs="宋体"/>
                <w:kern w:val="0"/>
              </w:rPr>
              <w:t>改进措施：进一步强化绩效管理思想，提高单位人员的绩效管理业务能力</w:t>
            </w:r>
            <w:r>
              <w:rPr>
                <w:rFonts w:hint="default" w:ascii="宋体" w:hAnsi="宋体" w:cs="宋体"/>
                <w:kern w:val="0"/>
              </w:rPr>
              <w:t>。</w:t>
            </w:r>
          </w:p>
        </w:tc>
      </w:tr>
      <w:tr>
        <w:tblPrEx>
          <w:tblCellMar>
            <w:top w:w="0" w:type="dxa"/>
            <w:left w:w="108" w:type="dxa"/>
            <w:bottom w:w="0" w:type="dxa"/>
            <w:right w:w="108" w:type="dxa"/>
          </w:tblCellMar>
        </w:tblPrEx>
        <w:trPr>
          <w:trHeight w:val="1359"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20</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资金管理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851"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政府采购执行情况</w:t>
            </w:r>
          </w:p>
        </w:tc>
        <w:tc>
          <w:tcPr>
            <w:tcW w:w="56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single" w:color="auto" w:sz="4" w:space="0"/>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部门（单位）本年度实际政府采购金额与年度政府采购预算的比率，用以反映和考核部门（单位）政府采购预算执行情况；政府采购政策功能的执行和落实情况。</w:t>
            </w:r>
          </w:p>
        </w:tc>
        <w:tc>
          <w:tcPr>
            <w:tcW w:w="5812" w:type="dxa"/>
            <w:tcBorders>
              <w:top w:val="single" w:color="auto" w:sz="4" w:space="0"/>
              <w:left w:val="nil"/>
              <w:bottom w:val="single" w:color="auto" w:sz="4" w:space="0"/>
              <w:right w:val="single" w:color="auto" w:sz="4" w:space="0"/>
            </w:tcBorders>
            <w:vAlign w:val="center"/>
          </w:tcPr>
          <w:p>
            <w:pPr>
              <w:widowControl/>
              <w:spacing w:line="320" w:lineRule="exact"/>
              <w:ind w:firstLine="405"/>
              <w:rPr>
                <w:rFonts w:ascii="宋体"/>
                <w:kern w:val="0"/>
              </w:rPr>
            </w:pPr>
            <w:r>
              <w:rPr>
                <w:rFonts w:ascii="宋体" w:hAnsi="宋体" w:cs="宋体"/>
                <w:kern w:val="0"/>
              </w:rPr>
              <w:t>1.</w:t>
            </w:r>
            <w:r>
              <w:rPr>
                <w:rFonts w:hint="eastAsia" w:ascii="宋体" w:hAnsi="宋体" w:cs="宋体"/>
                <w:kern w:val="0"/>
              </w:rPr>
              <w:t>政府采购执行率得分</w:t>
            </w:r>
            <w:r>
              <w:rPr>
                <w:rFonts w:ascii="宋体" w:hAnsi="宋体" w:cs="宋体"/>
                <w:kern w:val="0"/>
              </w:rPr>
              <w:t>=</w:t>
            </w:r>
            <w:r>
              <w:rPr>
                <w:rFonts w:hint="eastAsia" w:ascii="宋体" w:hAnsi="宋体" w:cs="宋体"/>
                <w:kern w:val="0"/>
              </w:rPr>
              <w:t>政府采购执行率×</w:t>
            </w:r>
            <w:r>
              <w:rPr>
                <w:rFonts w:ascii="宋体" w:hAnsi="宋体" w:cs="宋体"/>
                <w:kern w:val="0"/>
              </w:rPr>
              <w:t>1</w:t>
            </w:r>
            <w:r>
              <w:rPr>
                <w:rFonts w:hint="eastAsia" w:ascii="宋体" w:hAnsi="宋体" w:cs="宋体"/>
                <w:kern w:val="0"/>
              </w:rPr>
              <w:t>分</w:t>
            </w:r>
            <w:r>
              <w:rPr>
                <w:rFonts w:ascii="宋体"/>
                <w:kern w:val="0"/>
              </w:rPr>
              <w:br w:type="textWrapping"/>
            </w:r>
            <w:r>
              <w:rPr>
                <w:rFonts w:hint="eastAsia" w:ascii="宋体" w:hAnsi="宋体" w:cs="宋体"/>
                <w:kern w:val="0"/>
              </w:rPr>
              <w:t>政府采购执行率</w:t>
            </w:r>
            <w:r>
              <w:rPr>
                <w:rFonts w:ascii="宋体" w:hAnsi="宋体" w:cs="宋体"/>
                <w:kern w:val="0"/>
              </w:rPr>
              <w:t>=</w:t>
            </w:r>
            <w:r>
              <w:rPr>
                <w:rFonts w:hint="eastAsia" w:ascii="宋体" w:hAnsi="宋体" w:cs="宋体"/>
                <w:kern w:val="0"/>
              </w:rPr>
              <w:t>（实际采购金额合计数</w:t>
            </w:r>
            <w:r>
              <w:rPr>
                <w:rFonts w:ascii="宋体" w:hAnsi="宋体" w:cs="宋体"/>
                <w:kern w:val="0"/>
              </w:rPr>
              <w:t>/</w:t>
            </w:r>
            <w:r>
              <w:rPr>
                <w:rFonts w:hint="eastAsia" w:ascii="宋体" w:hAnsi="宋体" w:cs="宋体"/>
                <w:kern w:val="0"/>
              </w:rPr>
              <w:t>采购计划金额合计数）×</w:t>
            </w:r>
            <w:r>
              <w:rPr>
                <w:rFonts w:ascii="宋体" w:hAnsi="宋体" w:cs="宋体"/>
                <w:kern w:val="0"/>
              </w:rPr>
              <w:t>100%</w:t>
            </w:r>
            <w:r>
              <w:rPr>
                <w:rFonts w:ascii="宋体" w:hAnsi="宋体" w:cs="宋体"/>
                <w:kern w:val="0"/>
              </w:rPr>
              <w:br w:type="textWrapping"/>
            </w:r>
            <w:r>
              <w:rPr>
                <w:rFonts w:hint="eastAsia" w:ascii="宋体" w:hAnsi="宋体" w:cs="宋体"/>
                <w:kern w:val="0"/>
              </w:rPr>
              <w:t>如实际采购金额大于采购计划金额，本项得</w:t>
            </w:r>
            <w:r>
              <w:rPr>
                <w:rFonts w:ascii="宋体" w:cs="宋体"/>
                <w:kern w:val="0"/>
              </w:rPr>
              <w:t>0</w:t>
            </w:r>
            <w:r>
              <w:rPr>
                <w:rFonts w:hint="eastAsia" w:ascii="宋体" w:hAnsi="宋体" w:cs="宋体"/>
                <w:kern w:val="0"/>
              </w:rPr>
              <w:t>分。</w:t>
            </w:r>
            <w:r>
              <w:rPr>
                <w:rFonts w:ascii="宋体"/>
                <w:kern w:val="0"/>
              </w:rPr>
              <w:br w:type="textWrapping"/>
            </w:r>
            <w:r>
              <w:rPr>
                <w:rFonts w:hint="eastAsia" w:ascii="宋体" w:hAnsi="宋体" w:cs="宋体"/>
                <w:kern w:val="0"/>
              </w:rPr>
              <w:t>政府采购预算是指采购机关根据事业发展计划和行政任务编制的</w:t>
            </w:r>
            <w:r>
              <w:rPr>
                <w:rFonts w:hint="eastAsia" w:ascii="宋体" w:hAnsi="宋体" w:cs="宋体"/>
                <w:kern w:val="0"/>
                <w:lang w:eastAsia="zh-CN"/>
              </w:rPr>
              <w:t>，</w:t>
            </w:r>
            <w:r>
              <w:rPr>
                <w:rFonts w:hint="eastAsia" w:ascii="宋体" w:hAnsi="宋体" w:cs="宋体"/>
                <w:kern w:val="0"/>
              </w:rPr>
              <w:t>并经过规定程序批准的年度政府采购计划。</w:t>
            </w:r>
          </w:p>
          <w:p>
            <w:pPr>
              <w:widowControl/>
              <w:spacing w:line="320" w:lineRule="exact"/>
              <w:ind w:firstLine="405"/>
              <w:rPr>
                <w:rFonts w:ascii="宋体"/>
                <w:kern w:val="0"/>
              </w:rPr>
            </w:pPr>
            <w:r>
              <w:rPr>
                <w:rFonts w:ascii="宋体" w:hAnsi="宋体" w:cs="宋体"/>
                <w:kern w:val="0"/>
              </w:rPr>
              <w:t>2.</w:t>
            </w:r>
            <w:r>
              <w:rPr>
                <w:rFonts w:hint="eastAsia" w:ascii="宋体" w:hAnsi="宋体" w:cs="宋体"/>
                <w:kern w:val="0"/>
              </w:rPr>
              <w:t>政府采购政策功能的执行和落实情况（</w:t>
            </w:r>
            <w:r>
              <w:rPr>
                <w:rFonts w:ascii="宋体" w:hAnsi="宋体" w:cs="宋体"/>
                <w:kern w:val="0"/>
              </w:rPr>
              <w:t>1</w:t>
            </w:r>
            <w:r>
              <w:rPr>
                <w:rFonts w:hint="eastAsia" w:ascii="宋体" w:hAnsi="宋体" w:cs="宋体"/>
                <w:kern w:val="0"/>
              </w:rPr>
              <w:t>分），落实不到位的酌情扣分。</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81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财务合规性</w:t>
            </w:r>
          </w:p>
        </w:tc>
        <w:tc>
          <w:tcPr>
            <w:tcW w:w="567"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single" w:color="auto" w:sz="4" w:space="0"/>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资金支出规范性，包括资金管理、费用支出等制度是否严格执行；资金调整、调剂是否规范；会计核算是否规范、是否存在支出依据不合规、虚列项目支出的情况；是否存在截留、挤占、挪用项目资金情况。</w:t>
            </w:r>
          </w:p>
        </w:tc>
        <w:tc>
          <w:tcPr>
            <w:tcW w:w="5812" w:type="dxa"/>
            <w:tcBorders>
              <w:top w:val="single" w:color="auto" w:sz="4" w:space="0"/>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资金支出规范性（</w:t>
            </w:r>
            <w:r>
              <w:rPr>
                <w:rFonts w:ascii="宋体" w:hAnsi="宋体" w:cs="宋体"/>
                <w:kern w:val="0"/>
              </w:rPr>
              <w:t>1</w:t>
            </w:r>
            <w:r>
              <w:rPr>
                <w:rFonts w:hint="eastAsia" w:ascii="宋体" w:hAnsi="宋体" w:cs="宋体"/>
                <w:kern w:val="0"/>
              </w:rPr>
              <w:t>分）。资金管理、费用标准、支付符合有关制度规定，按事项完成进度支付资金的，得</w:t>
            </w:r>
            <w:r>
              <w:rPr>
                <w:rFonts w:ascii="宋体" w:hAnsi="宋体" w:cs="宋体"/>
                <w:kern w:val="0"/>
              </w:rPr>
              <w:t>1</w:t>
            </w:r>
            <w:r>
              <w:rPr>
                <w:rFonts w:hint="eastAsia" w:ascii="宋体" w:hAnsi="宋体" w:cs="宋体"/>
                <w:kern w:val="0"/>
              </w:rPr>
              <w:t>分，否则酌情扣分。</w:t>
            </w:r>
            <w:r>
              <w:rPr>
                <w:rFonts w:ascii="宋体"/>
                <w:kern w:val="0"/>
              </w:rPr>
              <w:br w:type="textWrapping"/>
            </w:r>
            <w:r>
              <w:rPr>
                <w:rFonts w:ascii="宋体" w:hAnsi="宋体" w:cs="宋体"/>
                <w:kern w:val="0"/>
              </w:rPr>
              <w:t xml:space="preserve">    2.</w:t>
            </w:r>
            <w:r>
              <w:rPr>
                <w:rFonts w:hint="eastAsia" w:ascii="宋体" w:hAnsi="宋体" w:cs="宋体"/>
                <w:kern w:val="0"/>
              </w:rPr>
              <w:t>资金调整、调剂规范性（</w:t>
            </w:r>
            <w:r>
              <w:rPr>
                <w:rFonts w:ascii="宋体" w:hAnsi="宋体" w:cs="宋体"/>
                <w:kern w:val="0"/>
              </w:rPr>
              <w:t>1</w:t>
            </w:r>
            <w:r>
              <w:rPr>
                <w:rFonts w:hint="eastAsia" w:ascii="宋体" w:hAnsi="宋体" w:cs="宋体"/>
                <w:kern w:val="0"/>
              </w:rPr>
              <w:t>分）。调整、调剂资金累计在本单位部门预算总规模</w:t>
            </w:r>
            <w:r>
              <w:rPr>
                <w:rFonts w:ascii="宋体" w:hAnsi="宋体" w:cs="宋体"/>
                <w:kern w:val="0"/>
              </w:rPr>
              <w:t>10%</w:t>
            </w:r>
            <w:r>
              <w:rPr>
                <w:rFonts w:hint="eastAsia" w:ascii="宋体" w:hAnsi="宋体" w:cs="宋体"/>
                <w:kern w:val="0"/>
              </w:rPr>
              <w:t>以内的，得</w:t>
            </w:r>
            <w:r>
              <w:rPr>
                <w:rFonts w:ascii="宋体" w:hAnsi="宋体" w:cs="宋体"/>
                <w:kern w:val="0"/>
              </w:rPr>
              <w:t>1</w:t>
            </w:r>
            <w:r>
              <w:rPr>
                <w:rFonts w:hint="eastAsia" w:ascii="宋体" w:hAnsi="宋体" w:cs="宋体"/>
                <w:kern w:val="0"/>
              </w:rPr>
              <w:t>分；超出</w:t>
            </w:r>
            <w:r>
              <w:rPr>
                <w:rFonts w:ascii="宋体" w:hAnsi="宋体" w:cs="宋体"/>
                <w:kern w:val="0"/>
              </w:rPr>
              <w:t>10%</w:t>
            </w:r>
            <w:r>
              <w:rPr>
                <w:rFonts w:hint="eastAsia" w:ascii="宋体" w:hAnsi="宋体" w:cs="宋体"/>
                <w:kern w:val="0"/>
              </w:rPr>
              <w:t>的，超出一个百分点扣</w:t>
            </w:r>
            <w:r>
              <w:rPr>
                <w:rFonts w:ascii="宋体" w:hAnsi="宋体" w:cs="宋体"/>
                <w:kern w:val="0"/>
              </w:rPr>
              <w:t>0.1</w:t>
            </w:r>
            <w:r>
              <w:rPr>
                <w:rFonts w:hint="eastAsia" w:ascii="宋体" w:hAnsi="宋体" w:cs="宋体"/>
                <w:kern w:val="0"/>
              </w:rPr>
              <w:t>分，直至</w:t>
            </w:r>
            <w:r>
              <w:rPr>
                <w:rFonts w:ascii="宋体" w:hAnsi="宋体" w:cs="宋体"/>
                <w:kern w:val="0"/>
              </w:rPr>
              <w:t>1</w:t>
            </w:r>
            <w:r>
              <w:rPr>
                <w:rFonts w:hint="eastAsia" w:ascii="宋体" w:hAnsi="宋体" w:cs="宋体"/>
                <w:kern w:val="0"/>
              </w:rPr>
              <w:t>分扣完为止。</w:t>
            </w:r>
          </w:p>
          <w:p>
            <w:pPr>
              <w:widowControl/>
              <w:spacing w:line="320" w:lineRule="exact"/>
              <w:ind w:firstLine="420" w:firstLineChars="200"/>
              <w:rPr>
                <w:rFonts w:ascii="宋体"/>
                <w:kern w:val="0"/>
              </w:rPr>
            </w:pPr>
            <w:r>
              <w:rPr>
                <w:rFonts w:ascii="宋体" w:hAnsi="宋体" w:cs="宋体"/>
                <w:kern w:val="0"/>
              </w:rPr>
              <w:t>3.</w:t>
            </w:r>
            <w:r>
              <w:rPr>
                <w:rFonts w:hint="eastAsia" w:ascii="宋体" w:hAnsi="宋体" w:cs="宋体"/>
                <w:kern w:val="0"/>
              </w:rPr>
              <w:t>会计核算规范性（</w:t>
            </w:r>
            <w:r>
              <w:rPr>
                <w:rFonts w:ascii="宋体" w:hAnsi="宋体" w:cs="宋体"/>
                <w:kern w:val="0"/>
              </w:rPr>
              <w:t>1</w:t>
            </w:r>
            <w:r>
              <w:rPr>
                <w:rFonts w:hint="eastAsia" w:ascii="宋体" w:hAnsi="宋体" w:cs="宋体"/>
                <w:kern w:val="0"/>
              </w:rPr>
              <w:t>分）。规范执行会计核算制度得</w:t>
            </w:r>
            <w:r>
              <w:rPr>
                <w:rFonts w:ascii="宋体" w:hAnsi="宋体" w:cs="宋体"/>
                <w:kern w:val="0"/>
              </w:rPr>
              <w:t>1</w:t>
            </w:r>
            <w:r>
              <w:rPr>
                <w:rFonts w:hint="eastAsia" w:ascii="宋体" w:hAnsi="宋体" w:cs="宋体"/>
                <w:kern w:val="0"/>
              </w:rPr>
              <w:t>分，未按规定设专账核算、支出凭证不符合规定或其他核算不规范，酌情扣分。</w:t>
            </w:r>
          </w:p>
          <w:p>
            <w:pPr>
              <w:widowControl/>
              <w:spacing w:line="320" w:lineRule="exact"/>
              <w:ind w:firstLine="420"/>
              <w:rPr>
                <w:rFonts w:ascii="宋体"/>
                <w:kern w:val="0"/>
              </w:rPr>
            </w:pPr>
            <w:r>
              <w:rPr>
                <w:rFonts w:ascii="宋体" w:hAnsi="宋体" w:cs="宋体"/>
                <w:kern w:val="0"/>
              </w:rPr>
              <w:t>4.</w:t>
            </w:r>
            <w:r>
              <w:rPr>
                <w:rFonts w:hint="eastAsia" w:ascii="宋体" w:hAnsi="宋体" w:cs="宋体"/>
                <w:kern w:val="0"/>
              </w:rPr>
              <w:t>发生超范围、超标准支出，虚列支出，截留、挤占、挪用资金的，以及其他不符合制度规定支出，本项指标得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429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预决算信息公开</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部门（单位）在被评价年度是否按照政府信息公开有关规定公开相关预决算信息，用以反映部门（单位）预决算管理的公开透明情况。</w:t>
            </w:r>
          </w:p>
        </w:tc>
        <w:tc>
          <w:tcPr>
            <w:tcW w:w="5812" w:type="dxa"/>
            <w:tcBorders>
              <w:top w:val="nil"/>
              <w:left w:val="nil"/>
              <w:bottom w:val="single" w:color="auto" w:sz="4" w:space="0"/>
              <w:right w:val="single" w:color="auto" w:sz="4" w:space="0"/>
            </w:tcBorders>
            <w:vAlign w:val="center"/>
          </w:tcPr>
          <w:p>
            <w:pPr>
              <w:ind w:firstLine="420" w:firstLineChars="200"/>
              <w:rPr>
                <w:rFonts w:ascii="宋体" w:hAnsi="宋体"/>
              </w:rPr>
            </w:pPr>
            <w:r>
              <w:rPr>
                <w:rFonts w:ascii="宋体" w:hAnsi="宋体"/>
              </w:rPr>
              <w:t>1.</w:t>
            </w:r>
            <w:r>
              <w:rPr>
                <w:rFonts w:hint="eastAsia" w:ascii="宋体" w:hAnsi="宋体"/>
              </w:rPr>
              <w:t>部门预算公开（</w:t>
            </w:r>
            <w:r>
              <w:rPr>
                <w:rFonts w:ascii="宋体" w:hAnsi="宋体"/>
              </w:rPr>
              <w:t>1.5</w:t>
            </w:r>
            <w:r>
              <w:rPr>
                <w:rFonts w:hint="eastAsia" w:ascii="宋体" w:hAnsi="宋体"/>
              </w:rPr>
              <w:t>分），按以下标准分档计分：</w:t>
            </w:r>
            <w:r>
              <w:rPr>
                <w:rFonts w:ascii="宋体" w:hAnsi="宋体"/>
              </w:rPr>
              <w:br w:type="textWrapping"/>
            </w:r>
            <w:r>
              <w:rPr>
                <w:rFonts w:hint="eastAsia" w:ascii="宋体" w:hAnsi="宋体"/>
              </w:rPr>
              <w:t>（</w:t>
            </w:r>
            <w:r>
              <w:rPr>
                <w:rFonts w:ascii="宋体" w:hAnsi="宋体"/>
              </w:rPr>
              <w:t>1</w:t>
            </w:r>
            <w:r>
              <w:rPr>
                <w:rFonts w:hint="eastAsia" w:ascii="宋体" w:hAnsi="宋体"/>
              </w:rPr>
              <w:t>）按规定内容、时限、范围等各项要求进行公开的，得</w:t>
            </w:r>
            <w:r>
              <w:rPr>
                <w:rFonts w:ascii="宋体" w:hAnsi="宋体"/>
              </w:rPr>
              <w:t>1.5</w:t>
            </w:r>
            <w:r>
              <w:rPr>
                <w:rFonts w:hint="eastAsia" w:ascii="宋体" w:hAnsi="宋体"/>
              </w:rPr>
              <w:t>分。</w:t>
            </w:r>
            <w:r>
              <w:rPr>
                <w:rFonts w:ascii="宋体" w:hAnsi="宋体"/>
              </w:rPr>
              <w:br w:type="textWrapping"/>
            </w:r>
            <w:r>
              <w:rPr>
                <w:rFonts w:hint="eastAsia" w:ascii="宋体" w:hAnsi="宋体"/>
              </w:rPr>
              <w:t>（</w:t>
            </w:r>
            <w:r>
              <w:rPr>
                <w:rFonts w:ascii="宋体" w:hAnsi="宋体"/>
              </w:rPr>
              <w:t>2</w:t>
            </w:r>
            <w:r>
              <w:rPr>
                <w:rFonts w:hint="eastAsia" w:ascii="宋体" w:hAnsi="宋体"/>
              </w:rPr>
              <w:t>）进行了公开，存在不符合时限、内容、范围等要求的，得</w:t>
            </w:r>
            <w:r>
              <w:rPr>
                <w:rFonts w:ascii="宋体" w:hAnsi="宋体"/>
              </w:rPr>
              <w:t>1</w:t>
            </w:r>
            <w:r>
              <w:rPr>
                <w:rFonts w:hint="eastAsia" w:ascii="宋体" w:hAnsi="宋体"/>
              </w:rPr>
              <w:t>分。</w:t>
            </w:r>
            <w:r>
              <w:rPr>
                <w:rFonts w:ascii="宋体" w:hAnsi="宋体"/>
              </w:rPr>
              <w:br w:type="textWrapping"/>
            </w:r>
            <w:r>
              <w:rPr>
                <w:rFonts w:hint="eastAsia" w:ascii="宋体" w:hAnsi="宋体"/>
              </w:rPr>
              <w:t>（</w:t>
            </w:r>
            <w:r>
              <w:rPr>
                <w:rFonts w:ascii="宋体" w:hAnsi="宋体"/>
              </w:rPr>
              <w:t>3</w:t>
            </w:r>
            <w:r>
              <w:rPr>
                <w:rFonts w:hint="eastAsia" w:ascii="宋体" w:hAnsi="宋体"/>
              </w:rPr>
              <w:t>）没有进行公开的，得</w:t>
            </w:r>
            <w:r>
              <w:rPr>
                <w:rFonts w:ascii="宋体" w:hAnsi="宋体"/>
              </w:rPr>
              <w:t>0</w:t>
            </w:r>
            <w:r>
              <w:rPr>
                <w:rFonts w:hint="eastAsia" w:ascii="宋体" w:hAnsi="宋体"/>
              </w:rPr>
              <w:t>分。</w:t>
            </w:r>
            <w:r>
              <w:rPr>
                <w:rFonts w:ascii="宋体" w:hAnsi="宋体"/>
              </w:rPr>
              <w:br w:type="textWrapping"/>
            </w:r>
            <w:r>
              <w:rPr>
                <w:rFonts w:ascii="宋体" w:hAnsi="宋体"/>
              </w:rPr>
              <w:t xml:space="preserve">    2.</w:t>
            </w:r>
            <w:r>
              <w:rPr>
                <w:rFonts w:hint="eastAsia" w:ascii="宋体" w:hAnsi="宋体"/>
              </w:rPr>
              <w:t>部门决算公开（</w:t>
            </w:r>
            <w:r>
              <w:rPr>
                <w:rFonts w:ascii="宋体" w:hAnsi="宋体"/>
              </w:rPr>
              <w:t>1.5</w:t>
            </w:r>
            <w:r>
              <w:rPr>
                <w:rFonts w:hint="eastAsia" w:ascii="宋体" w:hAnsi="宋体"/>
              </w:rPr>
              <w:t>分），按以下标准分档计分：</w:t>
            </w:r>
            <w:r>
              <w:rPr>
                <w:rFonts w:ascii="宋体" w:hAnsi="宋体"/>
              </w:rPr>
              <w:br w:type="textWrapping"/>
            </w:r>
            <w:r>
              <w:rPr>
                <w:rFonts w:hint="eastAsia" w:ascii="宋体" w:hAnsi="宋体"/>
              </w:rPr>
              <w:t>（</w:t>
            </w:r>
            <w:r>
              <w:rPr>
                <w:rFonts w:ascii="宋体" w:hAnsi="宋体"/>
              </w:rPr>
              <w:t>1</w:t>
            </w:r>
            <w:r>
              <w:rPr>
                <w:rFonts w:hint="eastAsia" w:ascii="宋体" w:hAnsi="宋体"/>
              </w:rPr>
              <w:t>）按规定内容、时限、范围等各项要求进行公开的，得</w:t>
            </w:r>
            <w:r>
              <w:rPr>
                <w:rFonts w:ascii="宋体" w:hAnsi="宋体"/>
              </w:rPr>
              <w:t>1.5</w:t>
            </w:r>
            <w:r>
              <w:rPr>
                <w:rFonts w:hint="eastAsia" w:ascii="宋体" w:hAnsi="宋体"/>
              </w:rPr>
              <w:t>分。</w:t>
            </w:r>
            <w:r>
              <w:rPr>
                <w:rFonts w:ascii="宋体" w:hAnsi="宋体"/>
              </w:rPr>
              <w:br w:type="textWrapping"/>
            </w:r>
            <w:r>
              <w:rPr>
                <w:rFonts w:hint="eastAsia" w:ascii="宋体" w:hAnsi="宋体"/>
              </w:rPr>
              <w:t>（</w:t>
            </w:r>
            <w:r>
              <w:rPr>
                <w:rFonts w:ascii="宋体" w:hAnsi="宋体"/>
              </w:rPr>
              <w:t>2</w:t>
            </w:r>
            <w:r>
              <w:rPr>
                <w:rFonts w:hint="eastAsia" w:ascii="宋体" w:hAnsi="宋体"/>
              </w:rPr>
              <w:t>）进行了公开，存在不符合时限、内容、范围等要求的，得</w:t>
            </w:r>
            <w:r>
              <w:rPr>
                <w:rFonts w:ascii="宋体" w:hAnsi="宋体"/>
              </w:rPr>
              <w:t>1</w:t>
            </w:r>
            <w:r>
              <w:rPr>
                <w:rFonts w:hint="eastAsia" w:ascii="宋体" w:hAnsi="宋体"/>
              </w:rPr>
              <w:t>分。</w:t>
            </w:r>
            <w:r>
              <w:rPr>
                <w:rFonts w:ascii="宋体" w:hAnsi="宋体"/>
              </w:rPr>
              <w:br w:type="textWrapping"/>
            </w:r>
            <w:r>
              <w:rPr>
                <w:rFonts w:hint="eastAsia" w:ascii="宋体" w:hAnsi="宋体"/>
              </w:rPr>
              <w:t>（</w:t>
            </w:r>
            <w:r>
              <w:rPr>
                <w:rFonts w:ascii="宋体" w:hAnsi="宋体"/>
              </w:rPr>
              <w:t>3</w:t>
            </w:r>
            <w:r>
              <w:rPr>
                <w:rFonts w:hint="eastAsia" w:ascii="宋体" w:hAnsi="宋体"/>
              </w:rPr>
              <w:t>）没有进行公开的，得</w:t>
            </w:r>
            <w:r>
              <w:rPr>
                <w:rFonts w:ascii="宋体" w:hAnsi="宋体"/>
              </w:rPr>
              <w:t>0</w:t>
            </w:r>
            <w:r>
              <w:rPr>
                <w:rFonts w:hint="eastAsia" w:ascii="宋体" w:hAnsi="宋体"/>
              </w:rPr>
              <w:t>分。</w:t>
            </w:r>
          </w:p>
          <w:p>
            <w:pPr>
              <w:rPr>
                <w:rFonts w:ascii="宋体" w:hAnsi="宋体"/>
              </w:rPr>
            </w:pPr>
            <w:r>
              <w:rPr>
                <w:rFonts w:ascii="宋体" w:hAnsi="宋体"/>
              </w:rPr>
              <w:t xml:space="preserve">    3.</w:t>
            </w:r>
            <w:r>
              <w:rPr>
                <w:rFonts w:hint="eastAsia" w:ascii="宋体" w:hAnsi="宋体"/>
              </w:rPr>
              <w:t>涉密部门（单位）按规定不需要公开相关预决算信息的直接得分。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20" w:lineRule="exact"/>
              <w:ind w:firstLine="405"/>
              <w:rPr>
                <w:rFonts w:ascii="宋体" w:hAnsi="宋体" w:cs="宋体"/>
                <w:kern w:val="0"/>
              </w:rPr>
            </w:pPr>
          </w:p>
        </w:tc>
      </w:tr>
      <w:tr>
        <w:tblPrEx>
          <w:tblCellMar>
            <w:top w:w="0" w:type="dxa"/>
            <w:left w:w="108" w:type="dxa"/>
            <w:bottom w:w="0" w:type="dxa"/>
            <w:right w:w="108" w:type="dxa"/>
          </w:tblCellMar>
        </w:tblPrEx>
        <w:trPr>
          <w:trHeight w:val="149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4</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项目实施程序</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部门（单位）所有项目支出实施过程是否规范</w:t>
            </w:r>
            <w:r>
              <w:rPr>
                <w:rFonts w:ascii="宋体" w:cs="宋体"/>
                <w:kern w:val="0"/>
              </w:rPr>
              <w:t>,</w:t>
            </w:r>
            <w:r>
              <w:rPr>
                <w:rFonts w:hint="eastAsia" w:ascii="宋体" w:hAnsi="宋体" w:cs="宋体"/>
                <w:kern w:val="0"/>
              </w:rPr>
              <w:t>包括是否符合申报条件；申报、批复程序是否符合相关管理办法；项目招投标、调整、完成验收等是否履行相应手续等。</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项目的设立、调整按规定履行报批程序（</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项目招投标、建设、验收以及方案实施均严格执行相关制度规定（</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52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w:t>
            </w:r>
          </w:p>
          <w:p>
            <w:pPr>
              <w:widowControl/>
              <w:spacing w:line="320" w:lineRule="exact"/>
              <w:jc w:val="left"/>
              <w:rPr>
                <w:rFonts w:ascii="宋体"/>
                <w:kern w:val="0"/>
              </w:rPr>
            </w:pPr>
            <w:r>
              <w:rPr>
                <w:rFonts w:hint="eastAsia" w:ascii="宋体" w:hAnsi="宋体" w:cs="宋体"/>
                <w:kern w:val="0"/>
              </w:rPr>
              <w:t>监管</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部门（单位）对所实施项目（包括部门主管的专项资金和专项经费分配给区级各部门实施的项目）的检查、监控、督促整改等管理情况。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资金使用单位、基层资金管理单位建立有效资金管理和绩效运行监控机制，且执行情况良好（</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各主管部门按规定对主管的财政资金（含专项资金和专项经费）开展有效的检查、监控、督促整改（</w:t>
            </w:r>
            <w:r>
              <w:rPr>
                <w:rFonts w:ascii="宋体" w:hAnsi="宋体" w:cs="宋体"/>
                <w:kern w:val="0"/>
              </w:rPr>
              <w:t>1</w:t>
            </w:r>
            <w:r>
              <w:rPr>
                <w:rFonts w:hint="eastAsia" w:ascii="宋体" w:hAnsi="宋体" w:cs="宋体"/>
                <w:kern w:val="0"/>
              </w:rPr>
              <w:t>分），如无法提供开展检查监督相关证明材料，或被评价年度部门主管的专项资金绩效评价结果为差的，得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1369"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资产管理</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资产管理安全性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部门（单位）的资产是否保存完整、使用合规、配置合理、处置规范、收入及时足额上缴，用于反映和考核部门（单位）资产安全运行情况。</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资产配置合理、保管完整，账实相符（</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资产处置规范，有偿使用及处置收入及时足额上缴（</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2</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31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固定资产利用率</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部门（单位）实际在用固定资产总额与所有固定资产总额的比例，用以反映和考核部门（单位）固定资产使用效率程度。</w:t>
            </w:r>
          </w:p>
        </w:tc>
        <w:tc>
          <w:tcPr>
            <w:tcW w:w="5812" w:type="dxa"/>
            <w:tcBorders>
              <w:top w:val="nil"/>
              <w:left w:val="nil"/>
              <w:bottom w:val="single" w:color="auto" w:sz="4" w:space="0"/>
              <w:right w:val="single" w:color="auto" w:sz="4" w:space="0"/>
            </w:tcBorders>
            <w:vAlign w:val="center"/>
          </w:tcPr>
          <w:p>
            <w:pPr>
              <w:widowControl/>
              <w:spacing w:line="300" w:lineRule="exact"/>
              <w:ind w:firstLine="420" w:firstLineChars="200"/>
              <w:rPr>
                <w:rFonts w:ascii="宋体" w:hAnsi="宋体" w:cs="宋体"/>
                <w:kern w:val="0"/>
              </w:rPr>
            </w:pPr>
            <w:r>
              <w:rPr>
                <w:rFonts w:hint="eastAsia" w:ascii="宋体" w:hAnsi="宋体" w:cs="宋体"/>
                <w:kern w:val="0"/>
              </w:rPr>
              <w:t>固定资产利用率</w:t>
            </w:r>
            <w:r>
              <w:rPr>
                <w:rFonts w:ascii="宋体" w:hAnsi="宋体" w:cs="宋体"/>
                <w:kern w:val="0"/>
              </w:rPr>
              <w:t>=</w:t>
            </w:r>
            <w:r>
              <w:rPr>
                <w:rFonts w:hint="eastAsia" w:ascii="宋体" w:hAnsi="宋体" w:cs="宋体"/>
                <w:kern w:val="0"/>
              </w:rPr>
              <w:t>（实际在用固定资产总额</w:t>
            </w:r>
            <w:r>
              <w:rPr>
                <w:rFonts w:ascii="宋体" w:hAnsi="宋体" w:cs="宋体"/>
                <w:kern w:val="0"/>
              </w:rPr>
              <w:t>/</w:t>
            </w:r>
            <w:r>
              <w:rPr>
                <w:rFonts w:hint="eastAsia" w:ascii="宋体" w:hAnsi="宋体" w:cs="宋体"/>
                <w:kern w:val="0"/>
              </w:rPr>
              <w:t>所有固定资产总额）×</w:t>
            </w:r>
            <w:r>
              <w:rPr>
                <w:rFonts w:ascii="宋体" w:hAnsi="宋体" w:cs="宋体"/>
                <w:kern w:val="0"/>
              </w:rPr>
              <w:t xml:space="preserve">100%    </w:t>
            </w:r>
          </w:p>
          <w:p>
            <w:pPr>
              <w:widowControl/>
              <w:spacing w:line="300" w:lineRule="exact"/>
              <w:ind w:firstLine="420" w:firstLineChars="200"/>
              <w:rPr>
                <w:rFonts w:ascii="宋体"/>
                <w:kern w:val="0"/>
              </w:rPr>
            </w:pPr>
            <w:r>
              <w:rPr>
                <w:rFonts w:ascii="宋体" w:hAnsi="宋体" w:cs="宋体"/>
                <w:kern w:val="0"/>
              </w:rPr>
              <w:t>1.</w:t>
            </w:r>
            <w:r>
              <w:rPr>
                <w:rFonts w:hint="eastAsia" w:ascii="宋体" w:hAnsi="宋体" w:cs="宋体"/>
                <w:kern w:val="0"/>
              </w:rPr>
              <w:t>固定资产利用率≥</w:t>
            </w:r>
            <w:r>
              <w:rPr>
                <w:rFonts w:ascii="宋体" w:hAnsi="宋体" w:cs="宋体"/>
                <w:kern w:val="0"/>
              </w:rPr>
              <w:t>90%</w:t>
            </w:r>
            <w:r>
              <w:rPr>
                <w:rFonts w:hint="eastAsia" w:ascii="宋体" w:hAnsi="宋体" w:cs="宋体"/>
                <w:kern w:val="0"/>
              </w:rPr>
              <w:t>的，得</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2.90%</w:t>
            </w:r>
            <w:r>
              <w:rPr>
                <w:rFonts w:hint="eastAsia" w:ascii="宋体" w:hAnsi="宋体" w:cs="宋体"/>
                <w:kern w:val="0"/>
              </w:rPr>
              <w:t>＞固定资产利用率≥</w:t>
            </w:r>
            <w:r>
              <w:rPr>
                <w:rFonts w:ascii="宋体" w:hAnsi="宋体" w:cs="宋体"/>
                <w:kern w:val="0"/>
              </w:rPr>
              <w:t>75%</w:t>
            </w:r>
            <w:r>
              <w:rPr>
                <w:rFonts w:hint="eastAsia" w:ascii="宋体" w:hAnsi="宋体" w:cs="宋体"/>
                <w:kern w:val="0"/>
              </w:rPr>
              <w:t>的，得</w:t>
            </w:r>
            <w:r>
              <w:rPr>
                <w:rFonts w:ascii="宋体" w:hAnsi="宋体" w:cs="宋体"/>
                <w:kern w:val="0"/>
              </w:rPr>
              <w:t>0.7</w:t>
            </w:r>
            <w:r>
              <w:rPr>
                <w:rFonts w:hint="eastAsia" w:ascii="宋体" w:hAnsi="宋体" w:cs="宋体"/>
                <w:kern w:val="0"/>
              </w:rPr>
              <w:t>分；</w:t>
            </w:r>
            <w:r>
              <w:rPr>
                <w:rFonts w:ascii="宋体"/>
                <w:kern w:val="0"/>
              </w:rPr>
              <w:br w:type="textWrapping"/>
            </w:r>
            <w:r>
              <w:rPr>
                <w:rFonts w:ascii="宋体" w:hAnsi="宋体" w:cs="宋体"/>
                <w:kern w:val="0"/>
              </w:rPr>
              <w:t xml:space="preserve">    3.75%</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cs="宋体"/>
                <w:kern w:val="0"/>
              </w:rPr>
              <w:t>0.</w:t>
            </w:r>
            <w:r>
              <w:rPr>
                <w:rFonts w:ascii="宋体" w:hAnsi="宋体" w:cs="宋体"/>
                <w:kern w:val="0"/>
              </w:rPr>
              <w:t>4</w:t>
            </w:r>
            <w:r>
              <w:rPr>
                <w:rFonts w:hint="eastAsia" w:ascii="宋体" w:hAnsi="宋体" w:cs="宋体"/>
                <w:kern w:val="0"/>
              </w:rPr>
              <w:t>分；</w:t>
            </w:r>
            <w:r>
              <w:rPr>
                <w:rFonts w:ascii="宋体"/>
                <w:kern w:val="0"/>
              </w:rPr>
              <w:br w:type="textWrapping"/>
            </w:r>
            <w:r>
              <w:rPr>
                <w:rFonts w:ascii="宋体" w:hAnsi="宋体" w:cs="宋体"/>
                <w:kern w:val="0"/>
              </w:rPr>
              <w:t xml:space="preserve">    4.</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1</w:t>
            </w:r>
          </w:p>
        </w:tc>
        <w:tc>
          <w:tcPr>
            <w:tcW w:w="2297" w:type="dxa"/>
            <w:tcBorders>
              <w:top w:val="nil"/>
              <w:left w:val="nil"/>
              <w:bottom w:val="single" w:color="auto" w:sz="4" w:space="0"/>
              <w:right w:val="single" w:color="auto" w:sz="4" w:space="0"/>
            </w:tcBorders>
          </w:tcPr>
          <w:p>
            <w:pPr>
              <w:widowControl/>
              <w:spacing w:line="30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300"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人员管理</w:t>
            </w:r>
          </w:p>
        </w:tc>
        <w:tc>
          <w:tcPr>
            <w:tcW w:w="567" w:type="dxa"/>
            <w:vMerge w:val="restart"/>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85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kern w:val="0"/>
                <w:sz w:val="18"/>
                <w:szCs w:val="18"/>
              </w:rPr>
            </w:pPr>
            <w:r>
              <w:rPr>
                <w:rFonts w:hint="eastAsia" w:ascii="宋体" w:hAnsi="宋体" w:cs="宋体"/>
                <w:kern w:val="0"/>
              </w:rPr>
              <w:t>财政供养人员控制率</w:t>
            </w:r>
          </w:p>
        </w:tc>
        <w:tc>
          <w:tcPr>
            <w:tcW w:w="567"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kern w:val="0"/>
                <w:sz w:val="18"/>
                <w:szCs w:val="18"/>
              </w:rPr>
            </w:pPr>
            <w:r>
              <w:rPr>
                <w:rFonts w:ascii="宋体" w:hAnsi="宋体" w:cs="宋体"/>
                <w:kern w:val="0"/>
              </w:rPr>
              <w:t>1</w:t>
            </w:r>
          </w:p>
        </w:tc>
        <w:tc>
          <w:tcPr>
            <w:tcW w:w="2536" w:type="dxa"/>
            <w:tcBorders>
              <w:top w:val="single" w:color="auto" w:sz="4" w:space="0"/>
              <w:left w:val="nil"/>
              <w:bottom w:val="single" w:color="auto" w:sz="4" w:space="0"/>
              <w:right w:val="single" w:color="auto" w:sz="4" w:space="0"/>
            </w:tcBorders>
            <w:vAlign w:val="center"/>
          </w:tcPr>
          <w:p>
            <w:pPr>
              <w:widowControl/>
              <w:spacing w:line="300" w:lineRule="exact"/>
              <w:rPr>
                <w:rFonts w:ascii="宋体"/>
                <w:kern w:val="0"/>
                <w:sz w:val="18"/>
                <w:szCs w:val="18"/>
              </w:rPr>
            </w:pPr>
            <w:r>
              <w:rPr>
                <w:rFonts w:hint="eastAsia" w:ascii="宋体" w:hAnsi="宋体" w:cs="宋体"/>
                <w:kern w:val="0"/>
              </w:rPr>
              <w:t>部门（单位）本年度在编人数（含工勤人员）与核定编制数（含工勤人员）的比率。</w:t>
            </w:r>
          </w:p>
        </w:tc>
        <w:tc>
          <w:tcPr>
            <w:tcW w:w="5812"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kern w:val="0"/>
                <w:sz w:val="18"/>
                <w:szCs w:val="18"/>
              </w:rPr>
            </w:pPr>
            <w:r>
              <w:rPr>
                <w:rFonts w:hint="eastAsia" w:ascii="宋体" w:hAnsi="宋体" w:cs="宋体"/>
                <w:kern w:val="0"/>
              </w:rPr>
              <w:t>财政供养人员控制率</w:t>
            </w:r>
            <w:r>
              <w:rPr>
                <w:rFonts w:ascii="宋体" w:hAnsi="宋体" w:cs="宋体"/>
                <w:kern w:val="0"/>
              </w:rPr>
              <w:t>=</w:t>
            </w:r>
            <w:r>
              <w:rPr>
                <w:rFonts w:hint="eastAsia" w:ascii="宋体" w:hAnsi="宋体" w:cs="宋体"/>
                <w:kern w:val="0"/>
              </w:rPr>
              <w:t>本年度在编人数（含工勤人员）</w:t>
            </w:r>
            <w:r>
              <w:rPr>
                <w:rFonts w:ascii="宋体" w:hAnsi="宋体" w:cs="宋体"/>
                <w:kern w:val="0"/>
              </w:rPr>
              <w:t>/</w:t>
            </w:r>
            <w:r>
              <w:rPr>
                <w:rFonts w:hint="eastAsia" w:ascii="宋体" w:hAnsi="宋体" w:cs="宋体"/>
                <w:kern w:val="0"/>
              </w:rPr>
              <w:t>核定编制数（含工勤人员）</w:t>
            </w:r>
          </w:p>
          <w:p>
            <w:pPr>
              <w:widowControl/>
              <w:spacing w:line="300" w:lineRule="exact"/>
              <w:rPr>
                <w:rFonts w:ascii="宋体"/>
                <w:kern w:val="0"/>
                <w:sz w:val="18"/>
                <w:szCs w:val="18"/>
              </w:rPr>
            </w:pPr>
            <w:r>
              <w:rPr>
                <w:rFonts w:ascii="宋体" w:hAnsi="宋体" w:cs="宋体"/>
                <w:kern w:val="0"/>
              </w:rPr>
              <w:t xml:space="preserve">   1.</w:t>
            </w:r>
            <w:r>
              <w:rPr>
                <w:rFonts w:hint="eastAsia" w:ascii="宋体" w:hAnsi="宋体" w:cs="宋体"/>
                <w:kern w:val="0"/>
              </w:rPr>
              <w:t>财政供养人员控制率≤</w:t>
            </w:r>
            <w:r>
              <w:rPr>
                <w:rFonts w:ascii="宋体" w:hAnsi="宋体" w:cs="宋体"/>
                <w:kern w:val="0"/>
              </w:rPr>
              <w:t>100%</w:t>
            </w:r>
            <w:r>
              <w:rPr>
                <w:rFonts w:hint="eastAsia" w:ascii="宋体" w:hAnsi="宋体" w:cs="宋体"/>
                <w:kern w:val="0"/>
              </w:rPr>
              <w:t>的，得</w:t>
            </w:r>
            <w:r>
              <w:rPr>
                <w:rFonts w:ascii="宋体" w:hAnsi="宋体" w:cs="宋体"/>
                <w:kern w:val="0"/>
              </w:rPr>
              <w:t>1</w:t>
            </w:r>
            <w:r>
              <w:rPr>
                <w:rFonts w:hint="eastAsia" w:ascii="宋体" w:hAnsi="宋体" w:cs="宋体"/>
                <w:kern w:val="0"/>
              </w:rPr>
              <w:t>分；</w:t>
            </w:r>
          </w:p>
          <w:p>
            <w:pPr>
              <w:widowControl/>
              <w:spacing w:line="300" w:lineRule="exact"/>
              <w:rPr>
                <w:rFonts w:ascii="宋体"/>
                <w:kern w:val="0"/>
                <w:sz w:val="18"/>
                <w:szCs w:val="18"/>
              </w:rPr>
            </w:pPr>
            <w:r>
              <w:rPr>
                <w:rFonts w:ascii="宋体" w:cs="宋体"/>
                <w:kern w:val="0"/>
              </w:rPr>
              <w:t xml:space="preserve">   2.</w:t>
            </w:r>
            <w:r>
              <w:rPr>
                <w:rFonts w:hint="eastAsia" w:ascii="宋体" w:hAnsi="宋体" w:cs="宋体"/>
                <w:kern w:val="0"/>
              </w:rPr>
              <w:t>财政供养人员控制率＞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1</w:t>
            </w:r>
          </w:p>
        </w:tc>
        <w:tc>
          <w:tcPr>
            <w:tcW w:w="2297" w:type="dxa"/>
            <w:tcBorders>
              <w:top w:val="single" w:color="auto" w:sz="4" w:space="0"/>
              <w:left w:val="nil"/>
              <w:bottom w:val="single" w:color="auto" w:sz="4" w:space="0"/>
              <w:right w:val="single" w:color="auto" w:sz="4" w:space="0"/>
            </w:tcBorders>
          </w:tcPr>
          <w:p>
            <w:pPr>
              <w:widowControl/>
              <w:spacing w:line="30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26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编外人员控制率</w:t>
            </w:r>
          </w:p>
        </w:tc>
        <w:tc>
          <w:tcPr>
            <w:tcW w:w="567"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w:t>
            </w:r>
          </w:p>
        </w:tc>
        <w:tc>
          <w:tcPr>
            <w:tcW w:w="2536" w:type="dxa"/>
            <w:tcBorders>
              <w:top w:val="single" w:color="auto" w:sz="4" w:space="0"/>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部门（单位）本年度使用劳务派遣人员数量（含直接聘用的编外人员）与在职人员总数（在编</w:t>
            </w:r>
            <w:r>
              <w:rPr>
                <w:rFonts w:ascii="宋体" w:hAnsi="宋体" w:cs="宋体"/>
                <w:kern w:val="0"/>
              </w:rPr>
              <w:t>+</w:t>
            </w:r>
            <w:r>
              <w:rPr>
                <w:rFonts w:hint="eastAsia" w:ascii="宋体" w:hAnsi="宋体" w:cs="宋体"/>
                <w:kern w:val="0"/>
              </w:rPr>
              <w:t>编外）的比率。</w:t>
            </w:r>
          </w:p>
        </w:tc>
        <w:tc>
          <w:tcPr>
            <w:tcW w:w="5812"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kern w:val="0"/>
              </w:rPr>
            </w:pPr>
            <w:r>
              <w:rPr>
                <w:rFonts w:ascii="宋体" w:hAnsi="宋体" w:cs="宋体"/>
                <w:kern w:val="0"/>
              </w:rPr>
              <w:t>1.</w:t>
            </w:r>
            <w:r>
              <w:rPr>
                <w:rFonts w:hint="eastAsia" w:ascii="宋体" w:hAnsi="宋体" w:cs="宋体"/>
                <w:kern w:val="0"/>
              </w:rPr>
              <w:t>比率＜</w:t>
            </w:r>
            <w:r>
              <w:rPr>
                <w:rFonts w:ascii="宋体" w:hAnsi="宋体" w:cs="宋体"/>
                <w:kern w:val="0"/>
              </w:rPr>
              <w:t>5%</w:t>
            </w:r>
            <w:r>
              <w:rPr>
                <w:rFonts w:hint="eastAsia" w:ascii="宋体" w:hAnsi="宋体" w:cs="宋体"/>
                <w:kern w:val="0"/>
              </w:rPr>
              <w:t>的，得</w:t>
            </w:r>
            <w:r>
              <w:rPr>
                <w:rFonts w:ascii="宋体" w:hAnsi="宋体" w:cs="宋体"/>
                <w:kern w:val="0"/>
              </w:rPr>
              <w:t>1</w:t>
            </w:r>
            <w:r>
              <w:rPr>
                <w:rFonts w:hint="eastAsia" w:ascii="宋体" w:hAnsi="宋体" w:cs="宋体"/>
                <w:kern w:val="0"/>
              </w:rPr>
              <w:t>分；</w:t>
            </w:r>
          </w:p>
          <w:p>
            <w:pPr>
              <w:widowControl/>
              <w:spacing w:line="300" w:lineRule="exact"/>
              <w:ind w:firstLine="420" w:firstLineChars="200"/>
              <w:rPr>
                <w:rFonts w:ascii="宋体"/>
                <w:kern w:val="0"/>
              </w:rPr>
            </w:pPr>
            <w:r>
              <w:rPr>
                <w:rFonts w:ascii="宋体" w:hAnsi="宋体" w:cs="宋体"/>
                <w:kern w:val="0"/>
              </w:rPr>
              <w:t>2.5%</w:t>
            </w:r>
            <w:r>
              <w:rPr>
                <w:rFonts w:hint="eastAsia" w:ascii="宋体" w:hAnsi="宋体" w:cs="宋体"/>
                <w:kern w:val="0"/>
              </w:rPr>
              <w:t>≤比率≤</w:t>
            </w:r>
            <w:r>
              <w:rPr>
                <w:rFonts w:ascii="宋体" w:hAnsi="宋体" w:cs="宋体"/>
                <w:kern w:val="0"/>
              </w:rPr>
              <w:t>10%</w:t>
            </w:r>
            <w:r>
              <w:rPr>
                <w:rFonts w:hint="eastAsia" w:ascii="宋体" w:hAnsi="宋体" w:cs="宋体"/>
                <w:kern w:val="0"/>
              </w:rPr>
              <w:t>的，得</w:t>
            </w:r>
            <w:r>
              <w:rPr>
                <w:rFonts w:ascii="宋体" w:hAnsi="宋体" w:cs="宋体"/>
                <w:kern w:val="0"/>
              </w:rPr>
              <w:t>0.5</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ascii="宋体" w:cs="宋体"/>
                <w:kern w:val="0"/>
              </w:rPr>
              <w:t>.</w:t>
            </w:r>
            <w:r>
              <w:rPr>
                <w:rFonts w:hint="eastAsia" w:ascii="宋体" w:hAnsi="宋体" w:cs="宋体"/>
                <w:kern w:val="0"/>
              </w:rPr>
              <w:t>比率＞</w:t>
            </w:r>
            <w:r>
              <w:rPr>
                <w:rFonts w:ascii="宋体" w:hAnsi="宋体" w:cs="宋体"/>
                <w:kern w:val="0"/>
              </w:rPr>
              <w:t>10%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1</w:t>
            </w:r>
          </w:p>
        </w:tc>
        <w:tc>
          <w:tcPr>
            <w:tcW w:w="2297" w:type="dxa"/>
            <w:tcBorders>
              <w:top w:val="single" w:color="auto" w:sz="4" w:space="0"/>
              <w:left w:val="nil"/>
              <w:bottom w:val="single" w:color="auto" w:sz="4" w:space="0"/>
              <w:right w:val="single" w:color="auto" w:sz="4" w:space="0"/>
            </w:tcBorders>
          </w:tcPr>
          <w:p>
            <w:pPr>
              <w:widowControl/>
              <w:spacing w:line="30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521"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制度管理</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851"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管理制度健全性</w:t>
            </w:r>
          </w:p>
        </w:tc>
        <w:tc>
          <w:tcPr>
            <w:tcW w:w="567"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部门（单位）制定了相应的预算资金、财务管理和预算绩效管理等制度并严格执行，用以反映部门（单位）的管理制度对其完成主要职责和促进事业发展的保障情况。</w:t>
            </w:r>
          </w:p>
        </w:tc>
        <w:tc>
          <w:tcPr>
            <w:tcW w:w="5812" w:type="dxa"/>
            <w:tcBorders>
              <w:top w:val="nil"/>
              <w:left w:val="nil"/>
              <w:bottom w:val="single" w:color="auto" w:sz="4" w:space="0"/>
              <w:right w:val="single" w:color="auto" w:sz="4" w:space="0"/>
            </w:tcBorders>
          </w:tcPr>
          <w:p>
            <w:pPr>
              <w:widowControl/>
              <w:spacing w:line="300" w:lineRule="exact"/>
              <w:jc w:val="left"/>
              <w:rPr>
                <w:rFonts w:ascii="宋体"/>
                <w:kern w:val="0"/>
              </w:rPr>
            </w:pPr>
            <w:r>
              <w:rPr>
                <w:rFonts w:ascii="宋体" w:hAnsi="宋体" w:cs="宋体"/>
                <w:kern w:val="0"/>
              </w:rPr>
              <w:t xml:space="preserve">    1.</w:t>
            </w:r>
            <w:r>
              <w:rPr>
                <w:rFonts w:hint="eastAsia" w:ascii="宋体" w:hAnsi="宋体" w:cs="宋体"/>
                <w:kern w:val="0"/>
              </w:rPr>
              <w:t>部门制定了财政资金管理、财务管理、内部控制等制度（</w:t>
            </w:r>
            <w:r>
              <w:rPr>
                <w:rFonts w:ascii="宋体" w:hAnsi="宋体" w:cs="宋体"/>
                <w:kern w:val="0"/>
              </w:rPr>
              <w:t>0.5</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上述财政资金管理、财务管理、内部控制等制度得到有效执行（</w:t>
            </w:r>
            <w:r>
              <w:rPr>
                <w:rFonts w:ascii="宋体" w:hAnsi="宋体" w:cs="宋体"/>
                <w:kern w:val="0"/>
              </w:rPr>
              <w:t>1.5</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hint="eastAsia" w:ascii="宋体" w:hAnsi="宋体" w:cs="宋体"/>
                <w:kern w:val="0"/>
              </w:rPr>
              <w:t>部门按照预算和绩效管理一体化的要求制定本部门全面实施预算绩效管理的制度或工作方案，组织指导本级及下属单位开展事前评估、绩效目标编报、绩效监控、绩效评价和评价结果应用等工作（</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0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00" w:lineRule="exact"/>
              <w:jc w:val="left"/>
              <w:rPr>
                <w:rFonts w:ascii="宋体" w:hAnsi="宋体" w:cs="宋体"/>
                <w:kern w:val="0"/>
              </w:rPr>
            </w:pPr>
          </w:p>
        </w:tc>
      </w:tr>
      <w:tr>
        <w:tblPrEx>
          <w:tblCellMar>
            <w:top w:w="0" w:type="dxa"/>
            <w:left w:w="108" w:type="dxa"/>
            <w:bottom w:w="0" w:type="dxa"/>
            <w:right w:w="108" w:type="dxa"/>
          </w:tblCellMar>
        </w:tblPrEx>
        <w:trPr>
          <w:trHeight w:val="360" w:hRule="atLeast"/>
        </w:trPr>
        <w:tc>
          <w:tcPr>
            <w:tcW w:w="57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部门绩效</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55</w:t>
            </w: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经济性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公用经费控制率</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部门（单位）本年度实际支出的公用经费总额与预算安排的公用经费总额的比率，用以反映和考核部门（单位）对机构运转成本的实际控制程度。</w:t>
            </w:r>
          </w:p>
        </w:tc>
        <w:tc>
          <w:tcPr>
            <w:tcW w:w="5812" w:type="dxa"/>
            <w:tcBorders>
              <w:top w:val="nil"/>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“三公”经费控制率</w:t>
            </w:r>
            <w:r>
              <w:rPr>
                <w:rFonts w:ascii="宋体" w:hAnsi="宋体" w:cs="宋体"/>
                <w:kern w:val="0"/>
              </w:rPr>
              <w:t>=</w:t>
            </w:r>
            <w:r>
              <w:rPr>
                <w:rFonts w:hint="eastAsia" w:ascii="宋体" w:hAnsi="宋体" w:cs="宋体"/>
                <w:kern w:val="0"/>
              </w:rPr>
              <w:t>“三公”经费实际支出数</w:t>
            </w:r>
            <w:r>
              <w:rPr>
                <w:rFonts w:ascii="宋体" w:hAnsi="宋体" w:cs="宋体"/>
                <w:kern w:val="0"/>
              </w:rPr>
              <w:t>/</w:t>
            </w:r>
            <w:r>
              <w:rPr>
                <w:rFonts w:hint="eastAsia" w:ascii="宋体" w:hAnsi="宋体" w:cs="宋体"/>
                <w:kern w:val="0"/>
              </w:rPr>
              <w:t>“三公”经费预算安排数×</w:t>
            </w:r>
            <w:r>
              <w:rPr>
                <w:rFonts w:ascii="宋体" w:hAnsi="宋体" w:cs="宋体"/>
                <w:kern w:val="0"/>
              </w:rPr>
              <w:t>100%</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1</w:t>
            </w:r>
            <w:r>
              <w:rPr>
                <w:rFonts w:hint="eastAsia" w:ascii="宋体" w:cs="宋体"/>
                <w:kern w:val="0"/>
              </w:rPr>
              <w:t>）</w:t>
            </w:r>
            <w:r>
              <w:rPr>
                <w:rFonts w:hint="eastAsia" w:ascii="宋体" w:hAnsi="宋体" w:cs="宋体"/>
                <w:kern w:val="0"/>
              </w:rPr>
              <w:t>“三公”经费控制率＜</w:t>
            </w:r>
            <w:r>
              <w:rPr>
                <w:rFonts w:ascii="宋体" w:hAnsi="宋体" w:cs="宋体"/>
                <w:kern w:val="0"/>
              </w:rPr>
              <w:t>90%</w:t>
            </w:r>
            <w:r>
              <w:rPr>
                <w:rFonts w:hint="eastAsia" w:ascii="宋体" w:hAnsi="宋体" w:cs="宋体"/>
                <w:kern w:val="0"/>
              </w:rPr>
              <w:t>的，得</w:t>
            </w:r>
            <w:r>
              <w:rPr>
                <w:rFonts w:ascii="宋体" w:hAnsi="宋体" w:cs="宋体"/>
                <w:kern w:val="0"/>
              </w:rPr>
              <w:t>3</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hAnsi="宋体" w:cs="宋体"/>
                <w:kern w:val="0"/>
              </w:rPr>
              <w:t>（</w:t>
            </w:r>
            <w:r>
              <w:rPr>
                <w:rFonts w:ascii="宋体" w:hAnsi="宋体" w:cs="宋体"/>
                <w:kern w:val="0"/>
              </w:rPr>
              <w:t>2</w:t>
            </w:r>
            <w:r>
              <w:rPr>
                <w:rFonts w:hint="eastAsia" w:ascii="宋体" w:hAnsi="宋体" w:cs="宋体"/>
                <w:kern w:val="0"/>
              </w:rPr>
              <w:t>）</w:t>
            </w:r>
            <w:r>
              <w:rPr>
                <w:rFonts w:ascii="宋体" w:hAnsi="宋体" w:cs="宋体"/>
                <w:kern w:val="0"/>
              </w:rPr>
              <w:t>90%</w:t>
            </w:r>
            <w:r>
              <w:rPr>
                <w:rFonts w:hint="eastAsia" w:ascii="宋体" w:hAnsi="宋体" w:cs="宋体"/>
                <w:kern w:val="0"/>
              </w:rPr>
              <w:t>≤“三公”经费控制率≤</w:t>
            </w:r>
            <w:r>
              <w:rPr>
                <w:rFonts w:ascii="宋体" w:hAnsi="宋体" w:cs="宋体"/>
                <w:kern w:val="0"/>
              </w:rPr>
              <w:t>100%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315" w:firstLineChars="150"/>
              <w:rPr>
                <w:rFonts w:ascii="宋体" w:hAnsi="宋体" w:cs="宋体"/>
                <w:kern w:val="0"/>
              </w:rPr>
            </w:pPr>
            <w:r>
              <w:rPr>
                <w:rFonts w:hint="eastAsia" w:ascii="宋体" w:cs="宋体"/>
                <w:kern w:val="0"/>
              </w:rPr>
              <w:t>（</w:t>
            </w:r>
            <w:r>
              <w:rPr>
                <w:rFonts w:ascii="宋体" w:cs="宋体"/>
                <w:kern w:val="0"/>
              </w:rPr>
              <w:t>3</w:t>
            </w:r>
            <w:r>
              <w:rPr>
                <w:rFonts w:hint="eastAsia" w:ascii="宋体" w:cs="宋体"/>
                <w:kern w:val="0"/>
              </w:rPr>
              <w:t>）</w:t>
            </w:r>
            <w:r>
              <w:rPr>
                <w:rFonts w:hint="eastAsia" w:ascii="宋体" w:hAnsi="宋体" w:cs="宋体"/>
                <w:kern w:val="0"/>
              </w:rPr>
              <w:t>“三公”经费控制率＞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r>
              <w:rPr>
                <w:rFonts w:ascii="宋体"/>
                <w:kern w:val="0"/>
              </w:rPr>
              <w:br w:type="textWrapping"/>
            </w:r>
            <w:r>
              <w:rPr>
                <w:rFonts w:ascii="宋体" w:hAnsi="宋体" w:cs="宋体"/>
                <w:kern w:val="0"/>
              </w:rPr>
              <w:t xml:space="preserve">    2. </w:t>
            </w:r>
            <w:r>
              <w:rPr>
                <w:rFonts w:hint="eastAsia" w:ascii="宋体" w:hAnsi="宋体" w:cs="宋体"/>
                <w:kern w:val="0"/>
              </w:rPr>
              <w:t>日常公用经费控制率</w:t>
            </w:r>
            <w:r>
              <w:rPr>
                <w:rFonts w:ascii="宋体" w:hAnsi="宋体" w:cs="宋体"/>
                <w:kern w:val="0"/>
              </w:rPr>
              <w:t>=</w:t>
            </w:r>
            <w:r>
              <w:rPr>
                <w:rFonts w:hint="eastAsia" w:ascii="宋体" w:hAnsi="宋体" w:cs="宋体"/>
                <w:kern w:val="0"/>
              </w:rPr>
              <w:t>日常公用经费决算数</w:t>
            </w:r>
            <w:r>
              <w:rPr>
                <w:rFonts w:ascii="宋体" w:hAnsi="宋体" w:cs="宋体"/>
                <w:kern w:val="0"/>
              </w:rPr>
              <w:t>/</w:t>
            </w:r>
            <w:r>
              <w:rPr>
                <w:rFonts w:hint="eastAsia" w:ascii="宋体" w:hAnsi="宋体" w:cs="宋体"/>
                <w:kern w:val="0"/>
              </w:rPr>
              <w:t>日常公用经费调整预算数×</w:t>
            </w:r>
            <w:r>
              <w:rPr>
                <w:rFonts w:ascii="宋体" w:hAnsi="宋体" w:cs="宋体"/>
                <w:kern w:val="0"/>
              </w:rPr>
              <w:t>100%</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1</w:t>
            </w:r>
            <w:r>
              <w:rPr>
                <w:rFonts w:hint="eastAsia" w:ascii="宋体" w:cs="宋体"/>
                <w:kern w:val="0"/>
              </w:rPr>
              <w:t>）</w:t>
            </w:r>
            <w:r>
              <w:rPr>
                <w:rFonts w:hint="eastAsia" w:ascii="宋体" w:hAnsi="宋体" w:cs="宋体"/>
                <w:kern w:val="0"/>
              </w:rPr>
              <w:t>日常公用经费控制率＜</w:t>
            </w:r>
            <w:r>
              <w:rPr>
                <w:rFonts w:ascii="宋体" w:hAnsi="宋体" w:cs="宋体"/>
                <w:kern w:val="0"/>
              </w:rPr>
              <w:t>90%</w:t>
            </w:r>
            <w:r>
              <w:rPr>
                <w:rFonts w:hint="eastAsia" w:ascii="宋体" w:hAnsi="宋体" w:cs="宋体"/>
                <w:kern w:val="0"/>
              </w:rPr>
              <w:t>的，得</w:t>
            </w:r>
            <w:r>
              <w:rPr>
                <w:rFonts w:ascii="宋体" w:hAnsi="宋体" w:cs="宋体"/>
                <w:kern w:val="0"/>
              </w:rPr>
              <w:t>3</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hAnsi="宋体" w:cs="宋体"/>
                <w:kern w:val="0"/>
              </w:rPr>
              <w:t>（</w:t>
            </w:r>
            <w:r>
              <w:rPr>
                <w:rFonts w:ascii="宋体" w:hAnsi="宋体" w:cs="宋体"/>
                <w:kern w:val="0"/>
              </w:rPr>
              <w:t>2</w:t>
            </w:r>
            <w:r>
              <w:rPr>
                <w:rFonts w:hint="eastAsia" w:ascii="宋体" w:hAnsi="宋体" w:cs="宋体"/>
                <w:kern w:val="0"/>
              </w:rPr>
              <w:t>）</w:t>
            </w:r>
            <w:r>
              <w:rPr>
                <w:rFonts w:ascii="宋体" w:hAnsi="宋体" w:cs="宋体"/>
                <w:kern w:val="0"/>
              </w:rPr>
              <w:t>90%</w:t>
            </w:r>
            <w:r>
              <w:rPr>
                <w:rFonts w:hint="eastAsia" w:ascii="宋体" w:hAnsi="宋体" w:cs="宋体"/>
                <w:kern w:val="0"/>
              </w:rPr>
              <w:t>≤日常公用经费控制率≤</w:t>
            </w:r>
            <w:r>
              <w:rPr>
                <w:rFonts w:ascii="宋体" w:hAnsi="宋体" w:cs="宋体"/>
                <w:kern w:val="0"/>
              </w:rPr>
              <w:t>100%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315" w:firstLineChars="150"/>
              <w:rPr>
                <w:rFonts w:ascii="宋体"/>
                <w:kern w:val="0"/>
              </w:rPr>
            </w:pPr>
            <w:r>
              <w:rPr>
                <w:rFonts w:hint="eastAsia" w:ascii="宋体" w:cs="宋体"/>
                <w:kern w:val="0"/>
              </w:rPr>
              <w:t>（</w:t>
            </w:r>
            <w:r>
              <w:rPr>
                <w:rFonts w:ascii="宋体" w:cs="宋体"/>
                <w:kern w:val="0"/>
              </w:rPr>
              <w:t>3</w:t>
            </w:r>
            <w:r>
              <w:rPr>
                <w:rFonts w:hint="eastAsia" w:ascii="宋体" w:cs="宋体"/>
                <w:kern w:val="0"/>
              </w:rPr>
              <w:t>）</w:t>
            </w:r>
            <w:r>
              <w:rPr>
                <w:rFonts w:hint="eastAsia" w:ascii="宋体" w:hAnsi="宋体" w:cs="宋体"/>
                <w:kern w:val="0"/>
              </w:rPr>
              <w:t>日常公用经费控制率＞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single" w:color="auto" w:sz="4" w:space="0"/>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2767"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宋体"/>
                <w:kern w:val="0"/>
              </w:rPr>
            </w:pPr>
            <w:r>
              <w:rPr>
                <w:rFonts w:hint="eastAsia" w:ascii="宋体" w:hAnsi="宋体" w:cs="宋体"/>
                <w:kern w:val="0"/>
              </w:rPr>
              <w:t>效率性</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kern w:val="0"/>
              </w:rPr>
            </w:pPr>
            <w:r>
              <w:rPr>
                <w:rFonts w:ascii="宋体" w:hAnsi="宋体" w:cs="宋体"/>
                <w:kern w:val="0"/>
              </w:rPr>
              <w:t>20</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预算执行率</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部门（单位）部门预算实际支付进度和既定支付进度的匹配情况，反映和考核部门（单位）预算执行的及时性和均衡性。</w:t>
            </w:r>
          </w:p>
        </w:tc>
        <w:tc>
          <w:tcPr>
            <w:tcW w:w="5812"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1.</w:t>
            </w:r>
            <w:r>
              <w:rPr>
                <w:rFonts w:hint="eastAsia" w:ascii="宋体" w:hAnsi="宋体" w:cs="宋体"/>
                <w:kern w:val="0"/>
              </w:rPr>
              <w:t>一季度预算执行率得分</w:t>
            </w:r>
            <w:r>
              <w:rPr>
                <w:rFonts w:ascii="宋体" w:hAnsi="宋体" w:cs="宋体"/>
                <w:kern w:val="0"/>
              </w:rPr>
              <w:t>=</w:t>
            </w:r>
            <w:r>
              <w:rPr>
                <w:rFonts w:hint="eastAsia" w:ascii="宋体" w:hAnsi="宋体" w:cs="宋体"/>
                <w:kern w:val="0"/>
              </w:rPr>
              <w:t>（一季度部门预算支出进度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25%</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2.</w:t>
            </w:r>
            <w:r>
              <w:rPr>
                <w:rFonts w:hint="eastAsia" w:ascii="宋体" w:hAnsi="宋体" w:cs="宋体"/>
                <w:kern w:val="0"/>
              </w:rPr>
              <w:t>二季度预算执行率得分</w:t>
            </w:r>
            <w:r>
              <w:rPr>
                <w:rFonts w:ascii="宋体" w:hAnsi="宋体" w:cs="宋体"/>
                <w:kern w:val="0"/>
              </w:rPr>
              <w:t>=</w:t>
            </w:r>
            <w:r>
              <w:rPr>
                <w:rFonts w:hint="eastAsia" w:ascii="宋体" w:hAnsi="宋体" w:cs="宋体"/>
                <w:kern w:val="0"/>
              </w:rPr>
              <w:t>（二季度部门预算支出进度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50%</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3.</w:t>
            </w:r>
            <w:r>
              <w:rPr>
                <w:rFonts w:hint="eastAsia" w:ascii="宋体" w:hAnsi="宋体" w:cs="宋体"/>
                <w:kern w:val="0"/>
              </w:rPr>
              <w:t>三季度预算执行率得分</w:t>
            </w:r>
            <w:r>
              <w:rPr>
                <w:rFonts w:ascii="宋体" w:hAnsi="宋体" w:cs="宋体"/>
                <w:kern w:val="0"/>
              </w:rPr>
              <w:t>=</w:t>
            </w:r>
            <w:r>
              <w:rPr>
                <w:rFonts w:hint="eastAsia" w:ascii="宋体" w:hAnsi="宋体" w:cs="宋体"/>
                <w:kern w:val="0"/>
              </w:rPr>
              <w:t>（三季度部门预算支出进度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75%</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4.</w:t>
            </w:r>
            <w:r>
              <w:rPr>
                <w:rFonts w:hint="eastAsia" w:ascii="宋体" w:hAnsi="宋体" w:cs="宋体"/>
                <w:kern w:val="0"/>
              </w:rPr>
              <w:t>四季度预算执行率得分</w:t>
            </w:r>
            <w:r>
              <w:rPr>
                <w:rFonts w:ascii="宋体" w:hAnsi="宋体" w:cs="宋体"/>
                <w:kern w:val="0"/>
              </w:rPr>
              <w:t>=</w:t>
            </w:r>
            <w:r>
              <w:rPr>
                <w:rFonts w:hint="eastAsia" w:ascii="宋体" w:hAnsi="宋体" w:cs="宋体"/>
                <w:kern w:val="0"/>
              </w:rPr>
              <w:t>（四季度部门预算支出进度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100%</w:t>
            </w:r>
            <w:r>
              <w:rPr>
                <w:rFonts w:hint="eastAsia" w:ascii="宋体" w:hAnsi="宋体" w:cs="宋体"/>
                <w:kern w:val="0"/>
              </w:rPr>
              <w:t>）×</w:t>
            </w:r>
            <w:r>
              <w:rPr>
                <w:rFonts w:ascii="宋体" w:hAnsi="宋体" w:cs="宋体"/>
                <w:kern w:val="0"/>
              </w:rPr>
              <w:t>1</w:t>
            </w:r>
            <w:r>
              <w:rPr>
                <w:rFonts w:hint="eastAsia" w:ascii="宋体" w:hAnsi="宋体" w:cs="宋体"/>
                <w:kern w:val="0"/>
              </w:rPr>
              <w:t>分，最高得1分。</w:t>
            </w:r>
          </w:p>
          <w:p>
            <w:pPr>
              <w:widowControl/>
              <w:spacing w:line="320" w:lineRule="exact"/>
              <w:rPr>
                <w:rFonts w:ascii="宋体"/>
                <w:kern w:val="0"/>
              </w:rPr>
            </w:pPr>
            <w:r>
              <w:rPr>
                <w:rFonts w:ascii="宋体" w:hAnsi="宋体" w:cs="宋体"/>
                <w:kern w:val="0"/>
              </w:rPr>
              <w:t>5.</w:t>
            </w:r>
            <w:r>
              <w:rPr>
                <w:rFonts w:hint="eastAsia" w:ascii="宋体" w:hAnsi="宋体" w:cs="宋体"/>
                <w:kern w:val="0"/>
              </w:rPr>
              <w:t>全年平均支出进度得分</w:t>
            </w:r>
            <w:r>
              <w:rPr>
                <w:rFonts w:ascii="宋体" w:hAnsi="宋体" w:cs="宋体"/>
                <w:kern w:val="0"/>
              </w:rPr>
              <w:t>=</w:t>
            </w:r>
            <w:r>
              <w:rPr>
                <w:rFonts w:hint="eastAsia" w:ascii="宋体" w:hAnsi="宋体" w:cs="宋体"/>
                <w:kern w:val="0"/>
              </w:rPr>
              <w:t>全年平均执行率×</w:t>
            </w:r>
            <w:r>
              <w:rPr>
                <w:rFonts w:ascii="宋体" w:hAnsi="宋体" w:cs="宋体"/>
                <w:kern w:val="0"/>
              </w:rPr>
              <w:t>2</w:t>
            </w:r>
            <w:r>
              <w:rPr>
                <w:rFonts w:hint="eastAsia" w:ascii="宋体" w:hAnsi="宋体" w:cs="宋体"/>
                <w:kern w:val="0"/>
              </w:rPr>
              <w:t>分，最高得</w:t>
            </w:r>
            <w:r>
              <w:rPr>
                <w:rFonts w:ascii="宋体" w:hAnsi="宋体" w:cs="宋体"/>
                <w:kern w:val="0"/>
              </w:rPr>
              <w:t>2</w:t>
            </w:r>
            <w:r>
              <w:rPr>
                <w:rFonts w:hint="eastAsia" w:ascii="宋体" w:hAnsi="宋体" w:cs="宋体"/>
                <w:kern w:val="0"/>
              </w:rPr>
              <w:t>分。</w:t>
            </w:r>
          </w:p>
          <w:p>
            <w:pPr>
              <w:widowControl/>
              <w:spacing w:line="320" w:lineRule="exact"/>
              <w:ind w:firstLine="405"/>
              <w:rPr>
                <w:rFonts w:ascii="宋体" w:hAnsi="宋体" w:cs="宋体"/>
                <w:kern w:val="0"/>
              </w:rPr>
            </w:pPr>
            <w:r>
              <w:rPr>
                <w:rFonts w:hint="eastAsia" w:ascii="宋体" w:hAnsi="宋体" w:cs="宋体"/>
                <w:kern w:val="0"/>
              </w:rPr>
              <w:t>其中：全年平均执行率</w:t>
            </w:r>
            <w:r>
              <w:rPr>
                <w:rFonts w:ascii="宋体" w:hAnsi="宋体" w:cs="宋体"/>
                <w:kern w:val="0"/>
              </w:rPr>
              <w:t>=</w:t>
            </w:r>
            <w:r>
              <w:rPr>
                <w:rFonts w:hint="eastAsia" w:ascii="宋体" w:hAnsi="宋体" w:cs="宋体"/>
                <w:kern w:val="0"/>
              </w:rPr>
              <w:t>∑（每个季度的执行率）÷</w:t>
            </w:r>
            <w:r>
              <w:rPr>
                <w:rFonts w:ascii="宋体" w:hAnsi="宋体" w:cs="宋体"/>
                <w:kern w:val="0"/>
              </w:rPr>
              <w:t>4</w:t>
            </w:r>
          </w:p>
          <w:p>
            <w:pPr>
              <w:widowControl/>
              <w:spacing w:line="320" w:lineRule="exact"/>
              <w:rPr>
                <w:rFonts w:ascii="宋体"/>
                <w:kern w:val="0"/>
              </w:rPr>
            </w:pPr>
            <w:r>
              <w:rPr>
                <w:rFonts w:hint="eastAsia" w:ascii="宋体" w:hAnsi="宋体" w:cs="宋体"/>
                <w:kern w:val="0"/>
              </w:rPr>
              <w:t>季度支出进度</w:t>
            </w:r>
            <w:r>
              <w:rPr>
                <w:rFonts w:ascii="宋体" w:hAnsi="宋体" w:cs="宋体"/>
                <w:kern w:val="0"/>
              </w:rPr>
              <w:t>=</w:t>
            </w:r>
            <w:r>
              <w:rPr>
                <w:rFonts w:hint="eastAsia" w:ascii="宋体" w:hAnsi="宋体" w:cs="宋体"/>
                <w:kern w:val="0"/>
              </w:rPr>
              <w:t>季度末月份累计支出进度（即</w:t>
            </w:r>
            <w:r>
              <w:rPr>
                <w:rFonts w:ascii="宋体" w:hAnsi="宋体" w:cs="宋体"/>
                <w:kern w:val="0"/>
              </w:rPr>
              <w:t>3</w:t>
            </w:r>
            <w:r>
              <w:rPr>
                <w:rFonts w:hint="eastAsia" w:ascii="宋体" w:hAnsi="宋体" w:cs="宋体"/>
                <w:kern w:val="0"/>
              </w:rPr>
              <w:t>、</w:t>
            </w:r>
            <w:r>
              <w:rPr>
                <w:rFonts w:ascii="宋体" w:hAnsi="宋体" w:cs="宋体"/>
                <w:kern w:val="0"/>
              </w:rPr>
              <w:t>6</w:t>
            </w:r>
            <w:r>
              <w:rPr>
                <w:rFonts w:hint="eastAsia" w:ascii="宋体" w:hAnsi="宋体" w:cs="宋体"/>
                <w:kern w:val="0"/>
              </w:rPr>
              <w:t>、</w:t>
            </w:r>
            <w:r>
              <w:rPr>
                <w:rFonts w:ascii="宋体" w:hAnsi="宋体" w:cs="宋体"/>
                <w:kern w:val="0"/>
              </w:rPr>
              <w:t>9</w:t>
            </w:r>
            <w:r>
              <w:rPr>
                <w:rFonts w:hint="eastAsia" w:ascii="宋体" w:hAnsi="宋体" w:cs="宋体"/>
                <w:kern w:val="0"/>
              </w:rPr>
              <w:t>、</w:t>
            </w:r>
            <w:r>
              <w:rPr>
                <w:rFonts w:ascii="宋体" w:hAnsi="宋体" w:cs="宋体"/>
                <w:kern w:val="0"/>
              </w:rPr>
              <w:t>12</w:t>
            </w:r>
            <w:r>
              <w:rPr>
                <w:rFonts w:hint="eastAsia" w:ascii="宋体" w:hAnsi="宋体" w:cs="宋体"/>
                <w:kern w:val="0"/>
              </w:rPr>
              <w:t>月月末支出进度）</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p>
        </w:tc>
      </w:tr>
      <w:tr>
        <w:tblPrEx>
          <w:tblCellMar>
            <w:top w:w="0" w:type="dxa"/>
            <w:left w:w="108" w:type="dxa"/>
            <w:bottom w:w="0" w:type="dxa"/>
            <w:right w:w="108" w:type="dxa"/>
          </w:tblCellMar>
        </w:tblPrEx>
        <w:trPr>
          <w:trHeight w:val="140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重点工作完成情况</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color w:val="000000"/>
                <w:kern w:val="0"/>
              </w:rPr>
            </w:pPr>
            <w:r>
              <w:rPr>
                <w:rFonts w:hint="eastAsia" w:ascii="宋体" w:hAnsi="宋体" w:cs="宋体"/>
                <w:color w:val="000000"/>
                <w:kern w:val="0"/>
              </w:rPr>
              <w:t>部门（单位）完成党委、政府和上级部门下达或交办的重要事项或工作的完成情况，反映部门对重点工作的办理落实程度。</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rPr>
            </w:pPr>
            <w:r>
              <w:rPr>
                <w:rFonts w:hint="eastAsia" w:ascii="宋体" w:hAnsi="宋体" w:cs="宋体"/>
                <w:kern w:val="0"/>
              </w:rPr>
              <w:t>重点工作是指中央和省、市相关部门、</w:t>
            </w:r>
            <w:r>
              <w:rPr>
                <w:rFonts w:hint="eastAsia" w:ascii="宋体" w:hAnsi="宋体" w:cs="宋体"/>
                <w:kern w:val="0"/>
                <w:lang w:eastAsia="zh-CN"/>
              </w:rPr>
              <w:t>新区党工委、管委会</w:t>
            </w:r>
            <w:r>
              <w:rPr>
                <w:rFonts w:hint="eastAsia" w:ascii="宋体" w:hAnsi="宋体" w:cs="宋体"/>
                <w:kern w:val="0"/>
              </w:rPr>
              <w:t>交办或下达的工作任务。全部按期保质保量完成得</w:t>
            </w:r>
            <w:r>
              <w:rPr>
                <w:rFonts w:ascii="宋体" w:hAnsi="宋体" w:cs="宋体"/>
                <w:kern w:val="0"/>
              </w:rPr>
              <w:t>8</w:t>
            </w:r>
            <w:r>
              <w:rPr>
                <w:rFonts w:hint="eastAsia" w:ascii="宋体" w:hAnsi="宋体" w:cs="宋体"/>
                <w:kern w:val="0"/>
              </w:rPr>
              <w:t>分；一项重点工作没有完成扣</w:t>
            </w:r>
            <w:r>
              <w:rPr>
                <w:rFonts w:ascii="宋体" w:hAnsi="宋体" w:cs="宋体"/>
                <w:kern w:val="0"/>
              </w:rPr>
              <w:t>4</w:t>
            </w:r>
            <w:r>
              <w:rPr>
                <w:rFonts w:hint="eastAsia" w:ascii="宋体" w:hAnsi="宋体" w:cs="宋体"/>
                <w:kern w:val="0"/>
              </w:rPr>
              <w:t>分，扣完为止。</w:t>
            </w:r>
          </w:p>
          <w:p>
            <w:pPr>
              <w:widowControl/>
              <w:spacing w:line="320" w:lineRule="exact"/>
              <w:rPr>
                <w:rFonts w:ascii="宋体"/>
                <w:kern w:val="0"/>
              </w:rPr>
            </w:pPr>
            <w:r>
              <w:rPr>
                <w:rFonts w:hint="eastAsia" w:ascii="宋体" w:hAnsi="宋体" w:cs="宋体"/>
                <w:kern w:val="0"/>
              </w:rPr>
              <w:t>注：重点工作完成情况可以参考</w:t>
            </w:r>
            <w:r>
              <w:rPr>
                <w:rFonts w:hint="eastAsia" w:ascii="宋体" w:hAnsi="宋体" w:cs="宋体"/>
                <w:kern w:val="0"/>
                <w:lang w:eastAsia="zh-CN"/>
              </w:rPr>
              <w:t>新区党工委、管委会</w:t>
            </w:r>
            <w:r>
              <w:rPr>
                <w:rFonts w:hint="eastAsia" w:ascii="宋体" w:hAnsi="宋体" w:cs="宋体"/>
                <w:kern w:val="0"/>
              </w:rPr>
              <w:t>督查部门或其他权威部门的统计数据（如有）。</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8</w:t>
            </w:r>
          </w:p>
        </w:tc>
        <w:tc>
          <w:tcPr>
            <w:tcW w:w="2297" w:type="dxa"/>
            <w:tcBorders>
              <w:top w:val="nil"/>
              <w:left w:val="nil"/>
              <w:bottom w:val="single" w:color="auto" w:sz="4" w:space="0"/>
              <w:right w:val="single" w:color="auto" w:sz="4" w:space="0"/>
            </w:tcBorders>
          </w:tcPr>
          <w:p>
            <w:pPr>
              <w:widowControl/>
              <w:spacing w:line="32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115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sz w:val="18"/>
                <w:szCs w:val="18"/>
              </w:rPr>
            </w:pPr>
            <w:r>
              <w:rPr>
                <w:rFonts w:hint="eastAsia" w:ascii="宋体" w:hAnsi="宋体" w:cs="宋体"/>
                <w:kern w:val="0"/>
              </w:rPr>
              <w:t>项目完成及时性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sz w:val="18"/>
                <w:szCs w:val="18"/>
              </w:rPr>
            </w:pPr>
            <w:r>
              <w:rPr>
                <w:rFonts w:hint="eastAsia" w:ascii="宋体" w:hAnsi="宋体" w:cs="宋体"/>
                <w:kern w:val="0"/>
              </w:rPr>
              <w:t>部门（单位）项目完成情况与预期时间对比的情况。</w:t>
            </w:r>
          </w:p>
        </w:tc>
        <w:tc>
          <w:tcPr>
            <w:tcW w:w="5812"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sz w:val="18"/>
                <w:szCs w:val="18"/>
              </w:rPr>
            </w:pPr>
            <w:r>
              <w:rPr>
                <w:rFonts w:ascii="宋体" w:hAnsi="宋体" w:cs="宋体"/>
                <w:kern w:val="0"/>
              </w:rPr>
              <w:t>1.</w:t>
            </w:r>
            <w:r>
              <w:rPr>
                <w:rFonts w:hint="eastAsia" w:ascii="宋体" w:hAnsi="宋体" w:cs="宋体"/>
                <w:kern w:val="0"/>
              </w:rPr>
              <w:t>所有部门预算安排的项目均按计划时间完成（</w:t>
            </w:r>
            <w:r>
              <w:rPr>
                <w:rFonts w:ascii="宋体" w:hAnsi="宋体" w:cs="宋体"/>
                <w:kern w:val="0"/>
              </w:rPr>
              <w:t>6</w:t>
            </w:r>
            <w:r>
              <w:rPr>
                <w:rFonts w:hint="eastAsia" w:ascii="宋体" w:hAnsi="宋体" w:cs="宋体"/>
                <w:kern w:val="0"/>
              </w:rPr>
              <w:t>分）；</w:t>
            </w:r>
          </w:p>
          <w:p>
            <w:pPr>
              <w:widowControl/>
              <w:spacing w:line="320" w:lineRule="exact"/>
              <w:ind w:firstLine="420" w:firstLineChars="200"/>
              <w:rPr>
                <w:rFonts w:ascii="宋体"/>
                <w:kern w:val="0"/>
                <w:sz w:val="18"/>
                <w:szCs w:val="18"/>
              </w:rPr>
            </w:pPr>
            <w:r>
              <w:rPr>
                <w:rFonts w:ascii="宋体" w:hAnsi="宋体" w:cs="宋体"/>
                <w:kern w:val="0"/>
              </w:rPr>
              <w:t>2.</w:t>
            </w:r>
            <w:r>
              <w:rPr>
                <w:rFonts w:hint="eastAsia" w:ascii="宋体" w:hAnsi="宋体" w:cs="宋体"/>
                <w:kern w:val="0"/>
              </w:rPr>
              <w:t>部分项目未按计划时间完成的，本指标得分</w:t>
            </w:r>
            <w:r>
              <w:rPr>
                <w:rFonts w:ascii="宋体" w:hAnsi="宋体" w:cs="宋体"/>
                <w:kern w:val="0"/>
              </w:rPr>
              <w:t>=</w:t>
            </w:r>
            <w:r>
              <w:rPr>
                <w:rFonts w:hint="eastAsia" w:ascii="宋体" w:hAnsi="宋体" w:cs="宋体"/>
                <w:kern w:val="0"/>
              </w:rPr>
              <w:t>已完成项目数</w:t>
            </w:r>
            <w:r>
              <w:rPr>
                <w:rFonts w:ascii="宋体" w:hAnsi="宋体" w:cs="宋体"/>
                <w:kern w:val="0"/>
              </w:rPr>
              <w:t>/</w:t>
            </w:r>
            <w:r>
              <w:rPr>
                <w:rFonts w:hint="eastAsia" w:ascii="宋体" w:hAnsi="宋体" w:cs="宋体"/>
                <w:kern w:val="0"/>
              </w:rPr>
              <w:t>计划完成项目总数×</w:t>
            </w:r>
            <w:r>
              <w:rPr>
                <w:rFonts w:ascii="宋体" w:hAnsi="宋体" w:cs="宋体"/>
                <w:kern w:val="0"/>
              </w:rPr>
              <w:t>6</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single" w:color="auto" w:sz="4" w:space="0"/>
              <w:right w:val="single" w:color="auto" w:sz="4" w:space="0"/>
            </w:tcBorders>
          </w:tcPr>
          <w:p>
            <w:pPr>
              <w:widowControl/>
              <w:spacing w:line="320" w:lineRule="exact"/>
              <w:ind w:firstLine="420" w:firstLineChars="200"/>
              <w:rPr>
                <w:rFonts w:ascii="宋体" w:hAnsi="宋体" w:cs="宋体"/>
                <w:kern w:val="0"/>
              </w:rPr>
            </w:pPr>
          </w:p>
        </w:tc>
      </w:tr>
      <w:tr>
        <w:tblPrEx>
          <w:tblCellMar>
            <w:top w:w="0" w:type="dxa"/>
            <w:left w:w="108" w:type="dxa"/>
            <w:bottom w:w="0" w:type="dxa"/>
            <w:right w:w="108" w:type="dxa"/>
          </w:tblCellMar>
        </w:tblPrEx>
        <w:trPr>
          <w:trHeight w:val="2008"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效果性</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20</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社会、经济、生态效益及可持续影响等</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20</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部门（单位）履行职责、完成各项重大政策和项目的效果，以及对经济发展、社会发展、生态环境所带来的直接或间接影响。</w:t>
            </w:r>
          </w:p>
        </w:tc>
        <w:tc>
          <w:tcPr>
            <w:tcW w:w="5812" w:type="dxa"/>
            <w:tcBorders>
              <w:top w:val="nil"/>
              <w:left w:val="nil"/>
              <w:bottom w:val="single" w:color="auto" w:sz="4" w:space="0"/>
              <w:right w:val="single" w:color="auto" w:sz="4" w:space="0"/>
            </w:tcBorders>
            <w:vAlign w:val="center"/>
          </w:tcPr>
          <w:p>
            <w:pPr>
              <w:widowControl/>
              <w:spacing w:line="320" w:lineRule="exact"/>
              <w:ind w:firstLine="405"/>
              <w:rPr>
                <w:rFonts w:ascii="宋体"/>
                <w:kern w:val="0"/>
              </w:rPr>
            </w:pPr>
            <w:r>
              <w:rPr>
                <w:rFonts w:hint="eastAsia" w:ascii="宋体" w:hAnsi="宋体" w:cs="宋体"/>
                <w:kern w:val="0"/>
              </w:rPr>
              <w:t>根据部门（单位）职责，结合部门整体支出绩效目标，合理设置个性化绩效指标，通过绩效指标完成情况与目标值对比分析进行评分，未实现绩效目标的酌情扣分。</w:t>
            </w:r>
          </w:p>
          <w:p>
            <w:pPr>
              <w:widowControl/>
              <w:spacing w:line="320" w:lineRule="exact"/>
              <w:ind w:firstLine="405"/>
              <w:rPr>
                <w:rFonts w:ascii="宋体" w:hAnsi="宋体" w:cs="宋体"/>
                <w:kern w:val="0"/>
              </w:rPr>
            </w:pPr>
            <w:r>
              <w:rPr>
                <w:rFonts w:hint="eastAsia" w:ascii="宋体" w:hAnsi="宋体" w:cs="宋体"/>
                <w:kern w:val="0"/>
              </w:rPr>
              <w:t>根据部门（部门）履职内容和性质，从社会效益、经济效益、生态效益、可持续影响等方面，至少选择三个方面对工作实效和效益进行评价。</w:t>
            </w:r>
          </w:p>
          <w:p>
            <w:pPr>
              <w:widowControl/>
              <w:spacing w:line="320" w:lineRule="exact"/>
              <w:rPr>
                <w:rFonts w:ascii="宋体" w:hAnsi="宋体" w:cs="宋体"/>
                <w:kern w:val="0"/>
              </w:rPr>
            </w:pPr>
            <w:r>
              <w:rPr>
                <w:rFonts w:hint="eastAsia" w:ascii="宋体" w:hAnsi="宋体" w:cs="宋体"/>
                <w:kern w:val="0"/>
              </w:rPr>
              <w:t xml:space="preserve">   1.落实幼儿园安全卫生工作，保障幼儿及教职工生命安全，幼儿园安全卫生零事故（5分）；</w:t>
            </w:r>
          </w:p>
          <w:p>
            <w:pPr>
              <w:widowControl/>
              <w:spacing w:line="320" w:lineRule="exact"/>
              <w:rPr>
                <w:rFonts w:ascii="宋体" w:hAnsi="宋体" w:cs="宋体"/>
                <w:kern w:val="0"/>
              </w:rPr>
            </w:pPr>
            <w:r>
              <w:rPr>
                <w:rFonts w:hint="eastAsia" w:ascii="宋体" w:hAnsi="宋体" w:cs="宋体"/>
                <w:kern w:val="0"/>
              </w:rPr>
              <w:t xml:space="preserve">   2.多措并举，加强我</w:t>
            </w:r>
            <w:r>
              <w:rPr>
                <w:rFonts w:hint="eastAsia" w:ascii="宋体" w:hAnsi="宋体" w:cs="宋体"/>
                <w:kern w:val="0"/>
                <w:lang w:val="en-US" w:eastAsia="zh-CN"/>
              </w:rPr>
              <w:t>校</w:t>
            </w:r>
            <w:r>
              <w:rPr>
                <w:rFonts w:hint="eastAsia" w:ascii="宋体" w:hAnsi="宋体" w:cs="宋体"/>
                <w:kern w:val="0"/>
              </w:rPr>
              <w:t>建设，促进教师专业化成长（5分）；</w:t>
            </w:r>
          </w:p>
          <w:p>
            <w:pPr>
              <w:widowControl/>
              <w:spacing w:line="320" w:lineRule="exact"/>
              <w:rPr>
                <w:rFonts w:ascii="宋体" w:hAnsi="宋体" w:cs="宋体"/>
                <w:kern w:val="0"/>
              </w:rPr>
            </w:pPr>
            <w:r>
              <w:rPr>
                <w:rFonts w:hint="eastAsia" w:ascii="宋体" w:hAnsi="宋体" w:cs="宋体"/>
                <w:kern w:val="0"/>
              </w:rPr>
              <w:t xml:space="preserve">   3.树立后勤服务意识，规范后勤管理，提高后勤服务水平，为幼儿园的教育、幼儿活动教学工作提供有力的后勤保障（5分）；</w:t>
            </w:r>
          </w:p>
          <w:p>
            <w:pPr>
              <w:widowControl/>
              <w:spacing w:line="320" w:lineRule="exact"/>
              <w:ind w:firstLine="210" w:firstLineChars="100"/>
              <w:rPr>
                <w:rFonts w:ascii="仿宋_GB2312" w:eastAsia="仿宋_GB2312"/>
                <w:b/>
                <w:color w:val="000000"/>
                <w:kern w:val="0"/>
                <w:sz w:val="32"/>
                <w:szCs w:val="32"/>
              </w:rPr>
            </w:pPr>
            <w:r>
              <w:rPr>
                <w:rFonts w:hint="eastAsia" w:ascii="宋体" w:hAnsi="宋体" w:cs="宋体"/>
                <w:kern w:val="0"/>
              </w:rPr>
              <w:t>4.</w:t>
            </w:r>
            <w:r>
              <w:rPr>
                <w:rFonts w:hint="eastAsia" w:ascii="宋体" w:hAnsi="宋体" w:cs="宋体"/>
                <w:kern w:val="0"/>
                <w:lang w:val="en-US" w:eastAsia="zh-CN"/>
              </w:rPr>
              <w:t>加</w:t>
            </w:r>
            <w:r>
              <w:rPr>
                <w:rFonts w:hint="eastAsia" w:ascii="宋体" w:hAnsi="宋体" w:cs="宋体"/>
                <w:kern w:val="0"/>
              </w:rPr>
              <w:t>强幼儿游戏质量</w:t>
            </w:r>
            <w:r>
              <w:rPr>
                <w:rFonts w:hint="eastAsia" w:ascii="宋体" w:hAnsi="宋体" w:cs="宋体"/>
                <w:kern w:val="0"/>
                <w:lang w:eastAsia="zh-CN"/>
              </w:rPr>
              <w:t>、</w:t>
            </w:r>
            <w:r>
              <w:rPr>
                <w:rFonts w:hint="eastAsia" w:ascii="宋体" w:hAnsi="宋体" w:cs="宋体"/>
                <w:kern w:val="0"/>
              </w:rPr>
              <w:t>常规工作管理督导及教师的环境资源开发能力等，开展形式多样的幼儿园活动，逐步提升保教质量（5分）。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18</w:t>
            </w:r>
          </w:p>
        </w:tc>
        <w:tc>
          <w:tcPr>
            <w:tcW w:w="2297" w:type="dxa"/>
            <w:tcBorders>
              <w:top w:val="nil"/>
              <w:left w:val="nil"/>
              <w:bottom w:val="single" w:color="auto" w:sz="4" w:space="0"/>
              <w:right w:val="single" w:color="auto" w:sz="4" w:space="0"/>
            </w:tcBorders>
          </w:tcPr>
          <w:p>
            <w:pPr>
              <w:widowControl/>
              <w:spacing w:line="320" w:lineRule="exact"/>
              <w:rPr>
                <w:rFonts w:ascii="宋体" w:hAnsi="宋体" w:cs="宋体"/>
                <w:kern w:val="0"/>
              </w:rPr>
            </w:pPr>
            <w:r>
              <w:rPr>
                <w:rFonts w:hint="eastAsia" w:ascii="宋体" w:hAnsi="宋体" w:cs="宋体"/>
                <w:kern w:val="0"/>
              </w:rPr>
              <w:t>扣分原因：开园第一年，工作程序、制度在建立中，部分工作仍在落实中。</w:t>
            </w:r>
          </w:p>
          <w:p>
            <w:pPr>
              <w:widowControl/>
              <w:spacing w:line="320" w:lineRule="exact"/>
              <w:rPr>
                <w:rFonts w:ascii="宋体" w:hAnsi="宋体" w:cs="宋体"/>
                <w:kern w:val="0"/>
              </w:rPr>
            </w:pPr>
            <w:r>
              <w:rPr>
                <w:rFonts w:hint="eastAsia" w:ascii="宋体" w:hAnsi="宋体" w:cs="宋体"/>
                <w:kern w:val="0"/>
              </w:rPr>
              <w:t>改进措施：1.注重开展生活化课程，挖掘生活中的教育契机，将课程做深做实。</w:t>
            </w:r>
          </w:p>
          <w:p>
            <w:pPr>
              <w:widowControl/>
              <w:spacing w:line="320" w:lineRule="exact"/>
              <w:rPr>
                <w:rFonts w:ascii="宋体" w:hAnsi="宋体" w:cs="宋体"/>
                <w:kern w:val="0"/>
              </w:rPr>
            </w:pPr>
            <w:r>
              <w:rPr>
                <w:rFonts w:hint="eastAsia" w:ascii="宋体" w:hAnsi="宋体" w:cs="宋体"/>
                <w:kern w:val="0"/>
              </w:rPr>
              <w:t>2.发动骨干教师的带头作用，以点带面，促动其他教师共同成长。</w:t>
            </w:r>
          </w:p>
          <w:p>
            <w:pPr>
              <w:widowControl/>
              <w:spacing w:line="320" w:lineRule="exact"/>
              <w:rPr>
                <w:rFonts w:ascii="宋体" w:hAnsi="宋体" w:cs="宋体"/>
                <w:kern w:val="0"/>
              </w:rPr>
            </w:pPr>
            <w:r>
              <w:rPr>
                <w:rFonts w:hint="eastAsia" w:ascii="宋体" w:hAnsi="宋体" w:cs="宋体"/>
                <w:kern w:val="0"/>
              </w:rPr>
              <w:t>3.严控采购申请单，加强办公、教学和日用品的物品管理，本着节约环保，反对铺张浪费的原则勤俭持家。</w:t>
            </w:r>
          </w:p>
          <w:p>
            <w:pPr>
              <w:widowControl/>
              <w:spacing w:line="320" w:lineRule="exact"/>
              <w:rPr>
                <w:rFonts w:ascii="宋体" w:hAnsi="宋体" w:cs="宋体"/>
                <w:kern w:val="0"/>
              </w:rPr>
            </w:pPr>
            <w:r>
              <w:rPr>
                <w:rFonts w:hint="eastAsia" w:ascii="宋体" w:hAnsi="宋体" w:cs="宋体"/>
                <w:kern w:val="0"/>
              </w:rPr>
              <w:t>4.继续加强门卫在幼儿来园与离园时间段的高度责任感，全面履行保卫职责。</w:t>
            </w:r>
          </w:p>
        </w:tc>
      </w:tr>
      <w:tr>
        <w:tblPrEx>
          <w:tblCellMar>
            <w:top w:w="0" w:type="dxa"/>
            <w:left w:w="108" w:type="dxa"/>
            <w:bottom w:w="0" w:type="dxa"/>
            <w:right w:w="108" w:type="dxa"/>
          </w:tblCellMar>
        </w:tblPrEx>
        <w:trPr>
          <w:trHeight w:val="1214" w:hRule="atLeast"/>
        </w:trPr>
        <w:tc>
          <w:tcPr>
            <w:tcW w:w="57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公平性</w:t>
            </w:r>
          </w:p>
        </w:tc>
        <w:tc>
          <w:tcPr>
            <w:tcW w:w="567"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9</w:t>
            </w:r>
          </w:p>
        </w:tc>
        <w:tc>
          <w:tcPr>
            <w:tcW w:w="851"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群众信访办理情况</w:t>
            </w:r>
          </w:p>
        </w:tc>
        <w:tc>
          <w:tcPr>
            <w:tcW w:w="567"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2536"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部门（单位）对群众信访意见的完成情况及及时性，反映部门（单位）对服务群众的重视程度。</w:t>
            </w:r>
          </w:p>
        </w:tc>
        <w:tc>
          <w:tcPr>
            <w:tcW w:w="5812" w:type="dxa"/>
            <w:tcBorders>
              <w:top w:val="nil"/>
              <w:left w:val="nil"/>
              <w:bottom w:val="single" w:color="auto" w:sz="4" w:space="0"/>
              <w:right w:val="single" w:color="auto" w:sz="4" w:space="0"/>
            </w:tcBorders>
            <w:vAlign w:val="center"/>
          </w:tcPr>
          <w:p>
            <w:pPr>
              <w:widowControl/>
              <w:spacing w:line="320" w:lineRule="exact"/>
              <w:ind w:firstLine="315" w:firstLineChars="150"/>
              <w:rPr>
                <w:rFonts w:ascii="宋体"/>
                <w:kern w:val="0"/>
              </w:rPr>
            </w:pPr>
            <w:r>
              <w:rPr>
                <w:rFonts w:ascii="宋体" w:hAnsi="宋体" w:cs="宋体"/>
                <w:kern w:val="0"/>
              </w:rPr>
              <w:t>1.</w:t>
            </w:r>
            <w:r>
              <w:rPr>
                <w:rFonts w:hint="eastAsia" w:ascii="宋体" w:hAnsi="宋体" w:cs="宋体"/>
                <w:kern w:val="0"/>
              </w:rPr>
              <w:t>建立了便利的群众意见反映渠道和群众意见办理回复机制（</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2.</w:t>
            </w:r>
            <w:r>
              <w:rPr>
                <w:rFonts w:hint="eastAsia" w:ascii="宋体" w:hAnsi="宋体" w:cs="宋体"/>
                <w:kern w:val="0"/>
              </w:rPr>
              <w:t>当年度群众信访办理回复率达</w:t>
            </w:r>
            <w:r>
              <w:rPr>
                <w:rFonts w:ascii="宋体" w:hAnsi="宋体" w:cs="宋体"/>
                <w:kern w:val="0"/>
              </w:rPr>
              <w:t>100%</w:t>
            </w:r>
            <w:r>
              <w:rPr>
                <w:rFonts w:hint="eastAsia" w:ascii="宋体" w:hAnsi="宋体" w:cs="宋体"/>
                <w:kern w:val="0"/>
              </w:rPr>
              <w:t>（</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3.</w:t>
            </w:r>
            <w:r>
              <w:rPr>
                <w:rFonts w:hint="eastAsia" w:ascii="宋体" w:hAnsi="宋体" w:cs="宋体"/>
                <w:kern w:val="0"/>
              </w:rPr>
              <w:t>当年度群众信访及时办理回复率达</w:t>
            </w:r>
            <w:r>
              <w:rPr>
                <w:rFonts w:ascii="宋体" w:hAnsi="宋体" w:cs="宋体"/>
                <w:kern w:val="0"/>
              </w:rPr>
              <w:t>100%</w:t>
            </w:r>
            <w:r>
              <w:rPr>
                <w:rFonts w:hint="eastAsia" w:ascii="宋体" w:hAnsi="宋体" w:cs="宋体"/>
                <w:kern w:val="0"/>
              </w:rPr>
              <w:t>，未发生超期（</w:t>
            </w:r>
            <w:r>
              <w:rPr>
                <w:rFonts w:ascii="宋体" w:hAnsi="宋体" w:cs="宋体"/>
                <w:kern w:val="0"/>
              </w:rPr>
              <w:t>1</w:t>
            </w:r>
            <w:r>
              <w:rPr>
                <w:rFonts w:hint="eastAsia" w:ascii="宋体" w:hAnsi="宋体" w:cs="宋体"/>
                <w:kern w:val="0"/>
              </w:rPr>
              <w:t>分）。</w:t>
            </w:r>
          </w:p>
        </w:tc>
        <w:tc>
          <w:tcPr>
            <w:tcW w:w="822"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3</w:t>
            </w:r>
          </w:p>
        </w:tc>
        <w:tc>
          <w:tcPr>
            <w:tcW w:w="2297" w:type="dxa"/>
            <w:tcBorders>
              <w:top w:val="nil"/>
              <w:left w:val="nil"/>
              <w:bottom w:val="single" w:color="auto" w:sz="4" w:space="0"/>
              <w:right w:val="single" w:color="auto" w:sz="4" w:space="0"/>
            </w:tcBorders>
          </w:tcPr>
          <w:p>
            <w:pPr>
              <w:widowControl/>
              <w:spacing w:line="320" w:lineRule="exact"/>
              <w:ind w:firstLine="315" w:firstLineChars="150"/>
              <w:rPr>
                <w:rFonts w:ascii="宋体" w:hAnsi="宋体" w:cs="宋体"/>
                <w:kern w:val="0"/>
              </w:rPr>
            </w:pPr>
          </w:p>
        </w:tc>
      </w:tr>
      <w:tr>
        <w:tblPrEx>
          <w:tblCellMar>
            <w:top w:w="0" w:type="dxa"/>
            <w:left w:w="108" w:type="dxa"/>
            <w:bottom w:w="0" w:type="dxa"/>
            <w:right w:w="108" w:type="dxa"/>
          </w:tblCellMar>
        </w:tblPrEx>
        <w:trPr>
          <w:trHeight w:val="1401" w:hRule="atLeast"/>
        </w:trPr>
        <w:tc>
          <w:tcPr>
            <w:tcW w:w="57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567" w:type="dxa"/>
            <w:vMerge w:val="continue"/>
            <w:tcBorders>
              <w:top w:val="nil"/>
              <w:left w:val="single" w:color="auto" w:sz="4" w:space="0"/>
              <w:bottom w:val="nil"/>
              <w:right w:val="single" w:color="auto" w:sz="4" w:space="0"/>
            </w:tcBorders>
            <w:vAlign w:val="center"/>
          </w:tcPr>
          <w:p>
            <w:pPr>
              <w:widowControl/>
              <w:spacing w:line="320" w:lineRule="exact"/>
              <w:jc w:val="left"/>
              <w:rPr>
                <w:rFonts w:ascii="宋体"/>
                <w:kern w:val="0"/>
              </w:rPr>
            </w:pPr>
          </w:p>
        </w:tc>
        <w:tc>
          <w:tcPr>
            <w:tcW w:w="851" w:type="dxa"/>
            <w:tcBorders>
              <w:top w:val="nil"/>
              <w:left w:val="nil"/>
              <w:bottom w:val="nil"/>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公众或服务对象满意度</w:t>
            </w:r>
          </w:p>
        </w:tc>
        <w:tc>
          <w:tcPr>
            <w:tcW w:w="567" w:type="dxa"/>
            <w:tcBorders>
              <w:top w:val="nil"/>
              <w:left w:val="nil"/>
              <w:bottom w:val="nil"/>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2536" w:type="dxa"/>
            <w:tcBorders>
              <w:top w:val="nil"/>
              <w:left w:val="nil"/>
              <w:bottom w:val="nil"/>
              <w:right w:val="single" w:color="auto" w:sz="4" w:space="0"/>
            </w:tcBorders>
            <w:vAlign w:val="center"/>
          </w:tcPr>
          <w:p>
            <w:pPr>
              <w:widowControl/>
              <w:spacing w:line="320" w:lineRule="exact"/>
              <w:rPr>
                <w:rFonts w:ascii="宋体"/>
                <w:kern w:val="0"/>
              </w:rPr>
            </w:pPr>
            <w:r>
              <w:rPr>
                <w:rFonts w:hint="eastAsia" w:ascii="宋体" w:hAnsi="宋体" w:cs="宋体"/>
                <w:kern w:val="0"/>
              </w:rPr>
              <w:t>反映社会公众或部门（单位）的服务对象对部门履职效果的满意度。</w:t>
            </w:r>
          </w:p>
        </w:tc>
        <w:tc>
          <w:tcPr>
            <w:tcW w:w="5812" w:type="dxa"/>
            <w:tcBorders>
              <w:top w:val="nil"/>
              <w:left w:val="nil"/>
              <w:bottom w:val="nil"/>
              <w:right w:val="single" w:color="auto" w:sz="4" w:space="0"/>
            </w:tcBorders>
            <w:vAlign w:val="center"/>
          </w:tcPr>
          <w:p>
            <w:pPr>
              <w:widowControl/>
              <w:spacing w:line="320" w:lineRule="exact"/>
              <w:ind w:firstLine="420"/>
              <w:rPr>
                <w:rFonts w:ascii="宋体"/>
                <w:kern w:val="0"/>
              </w:rPr>
            </w:pPr>
            <w:r>
              <w:rPr>
                <w:rFonts w:hint="eastAsia" w:ascii="宋体" w:hAnsi="宋体" w:cs="宋体"/>
                <w:kern w:val="0"/>
              </w:rPr>
              <w:t>社会公众或服务对象是指部门（单位）履行职责而影响到的部门、群体或个人，一般采取社会调查的方式。如难以单独开展满意度调查的，可参考区统计部门的数据、年度区直民主评议政风行风评价结果等数据，或者参考群众信访反馈的普遍性问题、本部门或权威第三方机构的开展满意度调查等进行分档计分。</w:t>
            </w:r>
          </w:p>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满意度≥</w:t>
            </w:r>
            <w:r>
              <w:rPr>
                <w:rFonts w:ascii="宋体" w:hAnsi="宋体" w:cs="宋体"/>
                <w:kern w:val="0"/>
              </w:rPr>
              <w:t>95%</w:t>
            </w:r>
            <w:r>
              <w:rPr>
                <w:rFonts w:hint="eastAsia" w:ascii="宋体" w:hAnsi="宋体" w:cs="宋体"/>
                <w:kern w:val="0"/>
              </w:rPr>
              <w:t>的，得</w:t>
            </w:r>
            <w:r>
              <w:rPr>
                <w:rFonts w:ascii="宋体" w:hAnsi="宋体" w:cs="宋体"/>
                <w:kern w:val="0"/>
              </w:rPr>
              <w:t>6</w:t>
            </w:r>
            <w:r>
              <w:rPr>
                <w:rFonts w:hint="eastAsia" w:ascii="宋体" w:hAnsi="宋体" w:cs="宋体"/>
                <w:kern w:val="0"/>
              </w:rPr>
              <w:t>分；</w:t>
            </w:r>
          </w:p>
          <w:p>
            <w:pPr>
              <w:widowControl/>
              <w:spacing w:line="320" w:lineRule="exact"/>
              <w:ind w:firstLine="420"/>
              <w:rPr>
                <w:rFonts w:ascii="宋体"/>
                <w:kern w:val="0"/>
              </w:rPr>
            </w:pPr>
            <w:r>
              <w:rPr>
                <w:rFonts w:ascii="宋体" w:cs="宋体"/>
                <w:kern w:val="0"/>
              </w:rPr>
              <w:t>2.</w:t>
            </w:r>
            <w:r>
              <w:rPr>
                <w:rFonts w:ascii="宋体" w:hAnsi="宋体" w:cs="宋体"/>
                <w:kern w:val="0"/>
              </w:rPr>
              <w:t xml:space="preserve"> 90%</w:t>
            </w:r>
            <w:r>
              <w:rPr>
                <w:rFonts w:hint="eastAsia" w:ascii="宋体" w:hAnsi="宋体" w:cs="宋体"/>
                <w:kern w:val="0"/>
              </w:rPr>
              <w:t>≤满意度＜</w:t>
            </w:r>
            <w:r>
              <w:rPr>
                <w:rFonts w:ascii="宋体" w:hAnsi="宋体" w:cs="宋体"/>
                <w:kern w:val="0"/>
              </w:rPr>
              <w:t>95%</w:t>
            </w:r>
            <w:r>
              <w:rPr>
                <w:rFonts w:hint="eastAsia" w:ascii="宋体" w:hAnsi="宋体" w:cs="宋体"/>
                <w:kern w:val="0"/>
              </w:rPr>
              <w:t>的，得</w:t>
            </w:r>
            <w:r>
              <w:rPr>
                <w:rFonts w:ascii="宋体" w:hAnsi="宋体" w:cs="宋体"/>
                <w:kern w:val="0"/>
              </w:rPr>
              <w:t>4</w:t>
            </w:r>
            <w:r>
              <w:rPr>
                <w:rFonts w:hint="eastAsia" w:ascii="宋体" w:hAnsi="宋体" w:cs="宋体"/>
                <w:kern w:val="0"/>
              </w:rPr>
              <w:t>分；</w:t>
            </w:r>
          </w:p>
          <w:p>
            <w:pPr>
              <w:widowControl/>
              <w:spacing w:line="320" w:lineRule="exact"/>
              <w:ind w:firstLine="420"/>
              <w:rPr>
                <w:rFonts w:ascii="宋体"/>
                <w:kern w:val="0"/>
              </w:rPr>
            </w:pPr>
            <w:r>
              <w:rPr>
                <w:rFonts w:ascii="宋体" w:hAnsi="宋体" w:cs="宋体"/>
                <w:kern w:val="0"/>
              </w:rPr>
              <w:t>3. 80%</w:t>
            </w:r>
            <w:r>
              <w:rPr>
                <w:rFonts w:hint="eastAsia" w:ascii="宋体" w:hAnsi="宋体" w:cs="宋体"/>
                <w:kern w:val="0"/>
              </w:rPr>
              <w:t>≤满意度＜</w:t>
            </w:r>
            <w:r>
              <w:rPr>
                <w:rFonts w:ascii="宋体" w:hAnsi="宋体" w:cs="宋体"/>
                <w:kern w:val="0"/>
              </w:rPr>
              <w:t>90%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420"/>
              <w:rPr>
                <w:rFonts w:ascii="宋体"/>
                <w:kern w:val="0"/>
              </w:rPr>
            </w:pPr>
            <w:r>
              <w:rPr>
                <w:rFonts w:ascii="宋体" w:hAnsi="宋体" w:cs="宋体"/>
                <w:kern w:val="0"/>
              </w:rPr>
              <w:t xml:space="preserve">4. </w:t>
            </w:r>
            <w:r>
              <w:rPr>
                <w:rFonts w:hint="eastAsia" w:ascii="宋体" w:hAnsi="宋体" w:cs="宋体"/>
                <w:kern w:val="0"/>
              </w:rPr>
              <w:t>满意度＜</w:t>
            </w:r>
            <w:r>
              <w:rPr>
                <w:rFonts w:ascii="宋体" w:hAnsi="宋体" w:cs="宋体"/>
                <w:kern w:val="0"/>
              </w:rPr>
              <w:t>80%</w:t>
            </w:r>
            <w:r>
              <w:rPr>
                <w:rFonts w:hint="eastAsia" w:ascii="宋体" w:hAnsi="宋体" w:cs="宋体"/>
                <w:kern w:val="0"/>
              </w:rPr>
              <w:t>的，得</w:t>
            </w:r>
            <w:r>
              <w:rPr>
                <w:rFonts w:ascii="宋体" w:hAnsi="宋体" w:cs="宋体"/>
                <w:kern w:val="0"/>
              </w:rPr>
              <w:t>1</w:t>
            </w:r>
            <w:r>
              <w:rPr>
                <w:rFonts w:hint="eastAsia" w:ascii="宋体" w:hAnsi="宋体" w:cs="宋体"/>
                <w:kern w:val="0"/>
              </w:rPr>
              <w:t>分。</w:t>
            </w:r>
          </w:p>
        </w:tc>
        <w:tc>
          <w:tcPr>
            <w:tcW w:w="822" w:type="dxa"/>
            <w:tcBorders>
              <w:top w:val="nil"/>
              <w:left w:val="nil"/>
              <w:bottom w:val="nil"/>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6</w:t>
            </w:r>
          </w:p>
        </w:tc>
        <w:tc>
          <w:tcPr>
            <w:tcW w:w="2297" w:type="dxa"/>
            <w:tcBorders>
              <w:top w:val="nil"/>
              <w:left w:val="nil"/>
              <w:bottom w:val="nil"/>
              <w:right w:val="single" w:color="auto" w:sz="4" w:space="0"/>
            </w:tcBorders>
          </w:tcPr>
          <w:p>
            <w:pPr>
              <w:widowControl/>
              <w:spacing w:line="320" w:lineRule="exact"/>
              <w:ind w:firstLine="420"/>
              <w:rPr>
                <w:rFonts w:ascii="宋体" w:hAnsi="宋体" w:cs="宋体"/>
                <w:kern w:val="0"/>
              </w:rPr>
            </w:pPr>
          </w:p>
        </w:tc>
      </w:tr>
      <w:tr>
        <w:tblPrEx>
          <w:tblCellMar>
            <w:top w:w="0" w:type="dxa"/>
            <w:left w:w="108" w:type="dxa"/>
            <w:bottom w:w="0" w:type="dxa"/>
            <w:right w:w="108" w:type="dxa"/>
          </w:tblCellMar>
        </w:tblPrEx>
        <w:trPr>
          <w:trHeight w:val="405" w:hRule="atLeast"/>
        </w:trPr>
        <w:tc>
          <w:tcPr>
            <w:tcW w:w="12044" w:type="dxa"/>
            <w:gridSpan w:val="8"/>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420"/>
              <w:jc w:val="center"/>
              <w:rPr>
                <w:rFonts w:ascii="宋体" w:hAnsi="宋体" w:cs="宋体"/>
                <w:b/>
                <w:bCs/>
                <w:kern w:val="0"/>
              </w:rPr>
            </w:pPr>
            <w:r>
              <w:rPr>
                <w:rFonts w:hint="eastAsia" w:ascii="宋体" w:hAnsi="宋体" w:cs="宋体"/>
                <w:b/>
                <w:bCs/>
                <w:kern w:val="0"/>
              </w:rPr>
              <w:t>总得分情况</w:t>
            </w:r>
          </w:p>
        </w:tc>
        <w:tc>
          <w:tcPr>
            <w:tcW w:w="822"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hAnsi="宋体" w:cs="宋体"/>
                <w:kern w:val="0"/>
              </w:rPr>
            </w:pPr>
            <w:r>
              <w:rPr>
                <w:rFonts w:hint="eastAsia" w:ascii="宋体" w:hAnsi="宋体" w:cs="宋体"/>
                <w:kern w:val="0"/>
              </w:rPr>
              <w:t>97</w:t>
            </w:r>
          </w:p>
        </w:tc>
        <w:tc>
          <w:tcPr>
            <w:tcW w:w="2297" w:type="dxa"/>
            <w:tcBorders>
              <w:top w:val="single" w:color="auto" w:sz="4" w:space="0"/>
              <w:left w:val="nil"/>
              <w:bottom w:val="single" w:color="auto" w:sz="4" w:space="0"/>
              <w:right w:val="single" w:color="auto" w:sz="4" w:space="0"/>
            </w:tcBorders>
          </w:tcPr>
          <w:p>
            <w:pPr>
              <w:widowControl/>
              <w:spacing w:line="320" w:lineRule="exact"/>
              <w:ind w:firstLine="420"/>
              <w:rPr>
                <w:rFonts w:ascii="宋体" w:hAnsi="宋体" w:cs="宋体"/>
                <w:kern w:val="0"/>
              </w:rPr>
            </w:pPr>
          </w:p>
        </w:tc>
      </w:tr>
    </w:tbl>
    <w:p>
      <w:pPr>
        <w:spacing w:line="320" w:lineRule="exact"/>
      </w:pPr>
      <w:r>
        <w:rPr>
          <w:rFonts w:hint="eastAsia" w:cs="宋体"/>
        </w:rPr>
        <w:t>附注：</w:t>
      </w:r>
      <w:r>
        <w:t>1.</w:t>
      </w:r>
      <w:r>
        <w:rPr>
          <w:rFonts w:hint="eastAsia" w:cs="宋体"/>
        </w:rPr>
        <w:t>《部门整体支出绩效评价共性指标体系框架》的适用对象是部门和单位；</w:t>
      </w:r>
    </w:p>
    <w:p>
      <w:pPr>
        <w:spacing w:line="320" w:lineRule="exact"/>
      </w:pPr>
      <w:r>
        <w:t xml:space="preserve">      2.</w:t>
      </w:r>
      <w:r>
        <w:rPr>
          <w:rFonts w:hint="eastAsia" w:cs="宋体"/>
        </w:rPr>
        <w:t>各项指标的分值是参考分值，各部门各单位在开展绩效评价时可结合不同评价对象的特点，赋予评价指标科学合理的权重分值，明确具体的评分标准。</w:t>
      </w:r>
    </w:p>
    <w:sectPr>
      <w:footerReference r:id="rId3" w:type="default"/>
      <w:pgSz w:w="16838" w:h="11906" w:orient="landscape"/>
      <w:pgMar w:top="709" w:right="820" w:bottom="1135" w:left="851" w:header="851" w:footer="680" w:gutter="0"/>
      <w:pgNumType w:fmt="numberInDash"/>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sz w:val="21"/>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MmZjNWM5OTJlNjdlZWY2M2RkMDg4MjdkOWM4ZjYifQ=="/>
  </w:docVars>
  <w:rsids>
    <w:rsidRoot w:val="007C6A8D"/>
    <w:rsid w:val="0000021D"/>
    <w:rsid w:val="0001508B"/>
    <w:rsid w:val="00015287"/>
    <w:rsid w:val="00030032"/>
    <w:rsid w:val="0003488E"/>
    <w:rsid w:val="00060F08"/>
    <w:rsid w:val="0006427C"/>
    <w:rsid w:val="000757DF"/>
    <w:rsid w:val="000949DA"/>
    <w:rsid w:val="00096A12"/>
    <w:rsid w:val="000C1693"/>
    <w:rsid w:val="000C7F39"/>
    <w:rsid w:val="000D311F"/>
    <w:rsid w:val="000D5ECC"/>
    <w:rsid w:val="000E1445"/>
    <w:rsid w:val="000E18C3"/>
    <w:rsid w:val="000E37D0"/>
    <w:rsid w:val="001030DE"/>
    <w:rsid w:val="00107641"/>
    <w:rsid w:val="0011023B"/>
    <w:rsid w:val="001404CB"/>
    <w:rsid w:val="00150867"/>
    <w:rsid w:val="00156F7B"/>
    <w:rsid w:val="0015721B"/>
    <w:rsid w:val="00157B50"/>
    <w:rsid w:val="001720CA"/>
    <w:rsid w:val="00176C84"/>
    <w:rsid w:val="00186083"/>
    <w:rsid w:val="00186AD9"/>
    <w:rsid w:val="001A4FCA"/>
    <w:rsid w:val="001B1562"/>
    <w:rsid w:val="001D282A"/>
    <w:rsid w:val="001D2C27"/>
    <w:rsid w:val="001E1A5E"/>
    <w:rsid w:val="001E702E"/>
    <w:rsid w:val="001F5AA4"/>
    <w:rsid w:val="00200398"/>
    <w:rsid w:val="002060CA"/>
    <w:rsid w:val="00211308"/>
    <w:rsid w:val="00215CE2"/>
    <w:rsid w:val="00230A29"/>
    <w:rsid w:val="00235966"/>
    <w:rsid w:val="0024228D"/>
    <w:rsid w:val="00246660"/>
    <w:rsid w:val="002656F4"/>
    <w:rsid w:val="0027677C"/>
    <w:rsid w:val="002856B3"/>
    <w:rsid w:val="002910E6"/>
    <w:rsid w:val="002A7700"/>
    <w:rsid w:val="002D2A14"/>
    <w:rsid w:val="002D6BC9"/>
    <w:rsid w:val="002E0FBC"/>
    <w:rsid w:val="00301F1E"/>
    <w:rsid w:val="00303233"/>
    <w:rsid w:val="00314E08"/>
    <w:rsid w:val="00321CA0"/>
    <w:rsid w:val="00323B8D"/>
    <w:rsid w:val="0033552A"/>
    <w:rsid w:val="0034451F"/>
    <w:rsid w:val="003577C2"/>
    <w:rsid w:val="00382649"/>
    <w:rsid w:val="00392CF9"/>
    <w:rsid w:val="00394B68"/>
    <w:rsid w:val="003A0F34"/>
    <w:rsid w:val="003A3AB8"/>
    <w:rsid w:val="003B1900"/>
    <w:rsid w:val="003B732D"/>
    <w:rsid w:val="003D0481"/>
    <w:rsid w:val="003D2DDA"/>
    <w:rsid w:val="003D5362"/>
    <w:rsid w:val="003E2490"/>
    <w:rsid w:val="003F3BCB"/>
    <w:rsid w:val="003F4059"/>
    <w:rsid w:val="004063FF"/>
    <w:rsid w:val="00415ED0"/>
    <w:rsid w:val="00433F78"/>
    <w:rsid w:val="00441673"/>
    <w:rsid w:val="00447BDD"/>
    <w:rsid w:val="00450535"/>
    <w:rsid w:val="00456A6D"/>
    <w:rsid w:val="00471023"/>
    <w:rsid w:val="004749E5"/>
    <w:rsid w:val="00477101"/>
    <w:rsid w:val="004805CE"/>
    <w:rsid w:val="004A3245"/>
    <w:rsid w:val="004A3334"/>
    <w:rsid w:val="004B47F6"/>
    <w:rsid w:val="004C3CA5"/>
    <w:rsid w:val="004D4B5F"/>
    <w:rsid w:val="004D70DA"/>
    <w:rsid w:val="00504CEC"/>
    <w:rsid w:val="0051517E"/>
    <w:rsid w:val="00567EEA"/>
    <w:rsid w:val="00574B4A"/>
    <w:rsid w:val="00581B3E"/>
    <w:rsid w:val="0058344B"/>
    <w:rsid w:val="005914C2"/>
    <w:rsid w:val="005A561A"/>
    <w:rsid w:val="005A7B7C"/>
    <w:rsid w:val="005C1A5C"/>
    <w:rsid w:val="005C793D"/>
    <w:rsid w:val="005D190A"/>
    <w:rsid w:val="005D6FD8"/>
    <w:rsid w:val="005D7EA1"/>
    <w:rsid w:val="005F0C07"/>
    <w:rsid w:val="005F5204"/>
    <w:rsid w:val="005F7406"/>
    <w:rsid w:val="00615072"/>
    <w:rsid w:val="006507E9"/>
    <w:rsid w:val="0065716A"/>
    <w:rsid w:val="006668F7"/>
    <w:rsid w:val="00670E00"/>
    <w:rsid w:val="00673267"/>
    <w:rsid w:val="00676402"/>
    <w:rsid w:val="0069041F"/>
    <w:rsid w:val="0069621C"/>
    <w:rsid w:val="006A08E5"/>
    <w:rsid w:val="006A0B18"/>
    <w:rsid w:val="006C7D2D"/>
    <w:rsid w:val="006D0D0B"/>
    <w:rsid w:val="006D1890"/>
    <w:rsid w:val="006E2C6E"/>
    <w:rsid w:val="006F0724"/>
    <w:rsid w:val="00730AAB"/>
    <w:rsid w:val="00745E30"/>
    <w:rsid w:val="00752D49"/>
    <w:rsid w:val="00775B6F"/>
    <w:rsid w:val="007A6DBF"/>
    <w:rsid w:val="007B1093"/>
    <w:rsid w:val="007C6A8D"/>
    <w:rsid w:val="007C77C0"/>
    <w:rsid w:val="007E03B1"/>
    <w:rsid w:val="007E16C0"/>
    <w:rsid w:val="007E3B55"/>
    <w:rsid w:val="007F11FC"/>
    <w:rsid w:val="0080464B"/>
    <w:rsid w:val="00811217"/>
    <w:rsid w:val="0082004C"/>
    <w:rsid w:val="0082636C"/>
    <w:rsid w:val="008274B1"/>
    <w:rsid w:val="00832FD6"/>
    <w:rsid w:val="00833D97"/>
    <w:rsid w:val="00850128"/>
    <w:rsid w:val="00851088"/>
    <w:rsid w:val="0085384E"/>
    <w:rsid w:val="00862580"/>
    <w:rsid w:val="00866D4F"/>
    <w:rsid w:val="0087079B"/>
    <w:rsid w:val="00881C08"/>
    <w:rsid w:val="00886EBB"/>
    <w:rsid w:val="00895FED"/>
    <w:rsid w:val="008A5EE3"/>
    <w:rsid w:val="008A7573"/>
    <w:rsid w:val="008C01DD"/>
    <w:rsid w:val="008C5E9F"/>
    <w:rsid w:val="008D07E4"/>
    <w:rsid w:val="008D3C34"/>
    <w:rsid w:val="008E1E8B"/>
    <w:rsid w:val="008E68C9"/>
    <w:rsid w:val="00904D8B"/>
    <w:rsid w:val="00907B9F"/>
    <w:rsid w:val="009173A7"/>
    <w:rsid w:val="00923FD1"/>
    <w:rsid w:val="009254A3"/>
    <w:rsid w:val="00931C47"/>
    <w:rsid w:val="009374E9"/>
    <w:rsid w:val="0094704A"/>
    <w:rsid w:val="009476AD"/>
    <w:rsid w:val="00955E4A"/>
    <w:rsid w:val="00962AD4"/>
    <w:rsid w:val="00980307"/>
    <w:rsid w:val="009803FA"/>
    <w:rsid w:val="00997B8D"/>
    <w:rsid w:val="009B3A5F"/>
    <w:rsid w:val="009B6BB4"/>
    <w:rsid w:val="009D59C9"/>
    <w:rsid w:val="009E4CDE"/>
    <w:rsid w:val="009F27D5"/>
    <w:rsid w:val="00A04291"/>
    <w:rsid w:val="00A04726"/>
    <w:rsid w:val="00A12C10"/>
    <w:rsid w:val="00A22783"/>
    <w:rsid w:val="00A24D63"/>
    <w:rsid w:val="00A2585A"/>
    <w:rsid w:val="00A327AA"/>
    <w:rsid w:val="00A365EC"/>
    <w:rsid w:val="00A61698"/>
    <w:rsid w:val="00A62C1B"/>
    <w:rsid w:val="00A81088"/>
    <w:rsid w:val="00A91F43"/>
    <w:rsid w:val="00AA3BBF"/>
    <w:rsid w:val="00AA5338"/>
    <w:rsid w:val="00AC140F"/>
    <w:rsid w:val="00AC3ADE"/>
    <w:rsid w:val="00AD1911"/>
    <w:rsid w:val="00AD4C3B"/>
    <w:rsid w:val="00AD7537"/>
    <w:rsid w:val="00AE1055"/>
    <w:rsid w:val="00B012E2"/>
    <w:rsid w:val="00B0400E"/>
    <w:rsid w:val="00B16374"/>
    <w:rsid w:val="00B2050B"/>
    <w:rsid w:val="00B21797"/>
    <w:rsid w:val="00B34F10"/>
    <w:rsid w:val="00B47F3A"/>
    <w:rsid w:val="00B6768F"/>
    <w:rsid w:val="00B77891"/>
    <w:rsid w:val="00B83B3F"/>
    <w:rsid w:val="00B86726"/>
    <w:rsid w:val="00B9050E"/>
    <w:rsid w:val="00BB7A05"/>
    <w:rsid w:val="00BC2D88"/>
    <w:rsid w:val="00BC6F6B"/>
    <w:rsid w:val="00BD192D"/>
    <w:rsid w:val="00BD6342"/>
    <w:rsid w:val="00BF4CA2"/>
    <w:rsid w:val="00C00DBD"/>
    <w:rsid w:val="00C14F54"/>
    <w:rsid w:val="00C2157C"/>
    <w:rsid w:val="00C300F9"/>
    <w:rsid w:val="00C31F30"/>
    <w:rsid w:val="00C409C6"/>
    <w:rsid w:val="00C702B8"/>
    <w:rsid w:val="00C90564"/>
    <w:rsid w:val="00C922A8"/>
    <w:rsid w:val="00CA7D0F"/>
    <w:rsid w:val="00CB3DD2"/>
    <w:rsid w:val="00CB56DB"/>
    <w:rsid w:val="00CB6C81"/>
    <w:rsid w:val="00CB7FE9"/>
    <w:rsid w:val="00CC0E1B"/>
    <w:rsid w:val="00CC3765"/>
    <w:rsid w:val="00CC41B1"/>
    <w:rsid w:val="00CC7C71"/>
    <w:rsid w:val="00CD00CD"/>
    <w:rsid w:val="00CD1D45"/>
    <w:rsid w:val="00CD69A4"/>
    <w:rsid w:val="00CE636F"/>
    <w:rsid w:val="00D02D95"/>
    <w:rsid w:val="00D07C3D"/>
    <w:rsid w:val="00D24842"/>
    <w:rsid w:val="00D50E3A"/>
    <w:rsid w:val="00D74103"/>
    <w:rsid w:val="00D86FE6"/>
    <w:rsid w:val="00DC002F"/>
    <w:rsid w:val="00DD1293"/>
    <w:rsid w:val="00DF6BC6"/>
    <w:rsid w:val="00E32187"/>
    <w:rsid w:val="00E32FC9"/>
    <w:rsid w:val="00E34FCB"/>
    <w:rsid w:val="00E35476"/>
    <w:rsid w:val="00E61598"/>
    <w:rsid w:val="00E61B07"/>
    <w:rsid w:val="00E707B4"/>
    <w:rsid w:val="00E8740B"/>
    <w:rsid w:val="00E97131"/>
    <w:rsid w:val="00E975EF"/>
    <w:rsid w:val="00EA1345"/>
    <w:rsid w:val="00EB2116"/>
    <w:rsid w:val="00EC6DF6"/>
    <w:rsid w:val="00EE2AFD"/>
    <w:rsid w:val="00EF319E"/>
    <w:rsid w:val="00F05CC5"/>
    <w:rsid w:val="00F34DD9"/>
    <w:rsid w:val="00F44866"/>
    <w:rsid w:val="00F57AFD"/>
    <w:rsid w:val="00F76790"/>
    <w:rsid w:val="00F7783B"/>
    <w:rsid w:val="00F778F1"/>
    <w:rsid w:val="00F813DD"/>
    <w:rsid w:val="00F85BCF"/>
    <w:rsid w:val="00FA35BB"/>
    <w:rsid w:val="00FA625B"/>
    <w:rsid w:val="00FA665A"/>
    <w:rsid w:val="00FB06FD"/>
    <w:rsid w:val="01EC397C"/>
    <w:rsid w:val="02E90282"/>
    <w:rsid w:val="03C01D00"/>
    <w:rsid w:val="04DE1E39"/>
    <w:rsid w:val="05C12906"/>
    <w:rsid w:val="065C5523"/>
    <w:rsid w:val="069410B8"/>
    <w:rsid w:val="07921768"/>
    <w:rsid w:val="07B22671"/>
    <w:rsid w:val="0AC62097"/>
    <w:rsid w:val="0C7A3B9E"/>
    <w:rsid w:val="0C80724C"/>
    <w:rsid w:val="0CE90701"/>
    <w:rsid w:val="0D23241F"/>
    <w:rsid w:val="0FCF64DF"/>
    <w:rsid w:val="0FF55CC9"/>
    <w:rsid w:val="10E6105F"/>
    <w:rsid w:val="113D1F6A"/>
    <w:rsid w:val="11470CBE"/>
    <w:rsid w:val="12D14BE5"/>
    <w:rsid w:val="13383616"/>
    <w:rsid w:val="133B4FF5"/>
    <w:rsid w:val="14054A1B"/>
    <w:rsid w:val="141D4559"/>
    <w:rsid w:val="14EC261F"/>
    <w:rsid w:val="167B0DA7"/>
    <w:rsid w:val="18A907E6"/>
    <w:rsid w:val="193226B1"/>
    <w:rsid w:val="1A441501"/>
    <w:rsid w:val="1A756DE9"/>
    <w:rsid w:val="1A7D4A21"/>
    <w:rsid w:val="1BF30EA0"/>
    <w:rsid w:val="1BF74BA9"/>
    <w:rsid w:val="1CE210A6"/>
    <w:rsid w:val="1D1F3284"/>
    <w:rsid w:val="1E064573"/>
    <w:rsid w:val="1EE25DB3"/>
    <w:rsid w:val="1FC13327"/>
    <w:rsid w:val="207F2774"/>
    <w:rsid w:val="20B13B57"/>
    <w:rsid w:val="20C8784A"/>
    <w:rsid w:val="20EB7C3A"/>
    <w:rsid w:val="20F52E77"/>
    <w:rsid w:val="21E218BC"/>
    <w:rsid w:val="241F4611"/>
    <w:rsid w:val="2523437B"/>
    <w:rsid w:val="27224576"/>
    <w:rsid w:val="283B10EC"/>
    <w:rsid w:val="28621EB3"/>
    <w:rsid w:val="293E689C"/>
    <w:rsid w:val="29653160"/>
    <w:rsid w:val="2A215EC1"/>
    <w:rsid w:val="2AB228DC"/>
    <w:rsid w:val="2B112883"/>
    <w:rsid w:val="2B65473B"/>
    <w:rsid w:val="2C2D0F4F"/>
    <w:rsid w:val="2DC635C4"/>
    <w:rsid w:val="2DE254FB"/>
    <w:rsid w:val="30892337"/>
    <w:rsid w:val="33110170"/>
    <w:rsid w:val="3498019B"/>
    <w:rsid w:val="3518688A"/>
    <w:rsid w:val="364D2D46"/>
    <w:rsid w:val="372625E9"/>
    <w:rsid w:val="37F95F06"/>
    <w:rsid w:val="388D2039"/>
    <w:rsid w:val="39443C37"/>
    <w:rsid w:val="39897EAE"/>
    <w:rsid w:val="3A991D59"/>
    <w:rsid w:val="3B2D0DB9"/>
    <w:rsid w:val="3C71484D"/>
    <w:rsid w:val="3EE65F42"/>
    <w:rsid w:val="3F643FE6"/>
    <w:rsid w:val="3F727A3D"/>
    <w:rsid w:val="3FCA01CD"/>
    <w:rsid w:val="41067197"/>
    <w:rsid w:val="41860FE7"/>
    <w:rsid w:val="41B0781D"/>
    <w:rsid w:val="41D14545"/>
    <w:rsid w:val="42C22771"/>
    <w:rsid w:val="433F3C23"/>
    <w:rsid w:val="43A00408"/>
    <w:rsid w:val="46387392"/>
    <w:rsid w:val="47D14FDB"/>
    <w:rsid w:val="48A14D83"/>
    <w:rsid w:val="49166196"/>
    <w:rsid w:val="49B671D0"/>
    <w:rsid w:val="49EC4CA8"/>
    <w:rsid w:val="4A531065"/>
    <w:rsid w:val="4B832EF7"/>
    <w:rsid w:val="4E274DE5"/>
    <w:rsid w:val="4E5E5E1C"/>
    <w:rsid w:val="4E667810"/>
    <w:rsid w:val="4EC62135"/>
    <w:rsid w:val="4F136195"/>
    <w:rsid w:val="51356717"/>
    <w:rsid w:val="51A27D1A"/>
    <w:rsid w:val="532E3297"/>
    <w:rsid w:val="551570B1"/>
    <w:rsid w:val="55581D21"/>
    <w:rsid w:val="559A6D7A"/>
    <w:rsid w:val="55B701CD"/>
    <w:rsid w:val="58916302"/>
    <w:rsid w:val="59B14CDC"/>
    <w:rsid w:val="59D52175"/>
    <w:rsid w:val="5B110747"/>
    <w:rsid w:val="5B6E43D1"/>
    <w:rsid w:val="5D60283A"/>
    <w:rsid w:val="5D814826"/>
    <w:rsid w:val="5EC405CA"/>
    <w:rsid w:val="5EE7DC70"/>
    <w:rsid w:val="5F3B7AC0"/>
    <w:rsid w:val="5F5B7BF4"/>
    <w:rsid w:val="60255986"/>
    <w:rsid w:val="61681397"/>
    <w:rsid w:val="62A939C9"/>
    <w:rsid w:val="63A67B36"/>
    <w:rsid w:val="645E6A5E"/>
    <w:rsid w:val="65A13002"/>
    <w:rsid w:val="65A37C83"/>
    <w:rsid w:val="67FF5B6C"/>
    <w:rsid w:val="6859595C"/>
    <w:rsid w:val="69B87190"/>
    <w:rsid w:val="6A513510"/>
    <w:rsid w:val="6C5167B8"/>
    <w:rsid w:val="6D4C5867"/>
    <w:rsid w:val="6EDB30D2"/>
    <w:rsid w:val="6F1A54D7"/>
    <w:rsid w:val="70D35361"/>
    <w:rsid w:val="70EE0C8C"/>
    <w:rsid w:val="71412212"/>
    <w:rsid w:val="75E4739E"/>
    <w:rsid w:val="78705E2E"/>
    <w:rsid w:val="7A842E87"/>
    <w:rsid w:val="7B5359E4"/>
    <w:rsid w:val="7B760E76"/>
    <w:rsid w:val="7BDE3037"/>
    <w:rsid w:val="7CF269A5"/>
    <w:rsid w:val="7D0E0123"/>
    <w:rsid w:val="7EE46CFF"/>
    <w:rsid w:val="7F770921"/>
    <w:rsid w:val="7FAD35E6"/>
    <w:rsid w:val="AEFB8C49"/>
    <w:rsid w:val="BE9FCD18"/>
    <w:rsid w:val="DB7E49E2"/>
    <w:rsid w:val="DCDE8EED"/>
    <w:rsid w:val="E53F50CB"/>
    <w:rsid w:val="E78F6F7F"/>
    <w:rsid w:val="ECF766FB"/>
    <w:rsid w:val="FFEDD1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Body Text"/>
    <w:basedOn w:val="1"/>
    <w:link w:val="18"/>
    <w:unhideWhenUsed/>
    <w:qFormat/>
    <w:uiPriority w:val="99"/>
    <w:pPr>
      <w:jc w:val="center"/>
    </w:pPr>
    <w:rPr>
      <w:rFonts w:asciiTheme="minorHAnsi" w:hAnsiTheme="minorHAnsi" w:eastAsiaTheme="minorEastAsia" w:cstheme="minorBidi"/>
    </w:rPr>
  </w:style>
  <w:style w:type="paragraph" w:styleId="3">
    <w:name w:val="endnote text"/>
    <w:basedOn w:val="1"/>
    <w:link w:val="16"/>
    <w:unhideWhenUsed/>
    <w:qFormat/>
    <w:uiPriority w:val="99"/>
    <w:pPr>
      <w:snapToGrid w:val="0"/>
      <w:jc w:val="left"/>
    </w:pPr>
  </w:style>
  <w:style w:type="paragraph" w:styleId="4">
    <w:name w:val="Balloon Text"/>
    <w:basedOn w:val="1"/>
    <w:link w:val="13"/>
    <w:unhideWhenUsed/>
    <w:qFormat/>
    <w:uiPriority w:val="0"/>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rPr>
      <w:sz w:val="24"/>
    </w:rPr>
  </w:style>
  <w:style w:type="character" w:styleId="10">
    <w:name w:val="endnote reference"/>
    <w:basedOn w:val="9"/>
    <w:unhideWhenUsed/>
    <w:qFormat/>
    <w:uiPriority w:val="99"/>
    <w:rPr>
      <w:vertAlign w:val="superscript"/>
    </w:rPr>
  </w:style>
  <w:style w:type="character" w:styleId="11">
    <w:name w:val="page number"/>
    <w:basedOn w:val="9"/>
    <w:qFormat/>
    <w:uiPriority w:val="99"/>
  </w:style>
  <w:style w:type="character" w:styleId="12">
    <w:name w:val="Hyperlink"/>
    <w:basedOn w:val="9"/>
    <w:unhideWhenUsed/>
    <w:qFormat/>
    <w:uiPriority w:val="99"/>
    <w:rPr>
      <w:color w:val="0000FF"/>
      <w:u w:val="single"/>
    </w:rPr>
  </w:style>
  <w:style w:type="character" w:customStyle="1" w:styleId="13">
    <w:name w:val="批注框文本 Char"/>
    <w:basedOn w:val="9"/>
    <w:link w:val="4"/>
    <w:semiHidden/>
    <w:qFormat/>
    <w:uiPriority w:val="99"/>
    <w:rPr>
      <w:rFonts w:ascii="Times New Roman" w:hAnsi="Times New Roman" w:eastAsia="宋体" w:cs="Times New Roman"/>
      <w:sz w:val="18"/>
      <w:szCs w:val="18"/>
    </w:rPr>
  </w:style>
  <w:style w:type="character" w:customStyle="1" w:styleId="14">
    <w:name w:val="页眉 Char"/>
    <w:basedOn w:val="9"/>
    <w:link w:val="6"/>
    <w:qFormat/>
    <w:uiPriority w:val="99"/>
    <w:rPr>
      <w:rFonts w:ascii="Times New Roman" w:hAnsi="Times New Roman" w:eastAsia="宋体" w:cs="Times New Roman"/>
      <w:sz w:val="18"/>
      <w:szCs w:val="18"/>
    </w:rPr>
  </w:style>
  <w:style w:type="character" w:customStyle="1" w:styleId="15">
    <w:name w:val="页脚 Char"/>
    <w:basedOn w:val="9"/>
    <w:link w:val="5"/>
    <w:qFormat/>
    <w:uiPriority w:val="99"/>
    <w:rPr>
      <w:rFonts w:ascii="Times New Roman" w:hAnsi="Times New Roman" w:eastAsia="宋体" w:cs="Times New Roman"/>
      <w:sz w:val="18"/>
      <w:szCs w:val="18"/>
    </w:rPr>
  </w:style>
  <w:style w:type="character" w:customStyle="1" w:styleId="16">
    <w:name w:val="尾注文本 Char"/>
    <w:basedOn w:val="9"/>
    <w:link w:val="3"/>
    <w:semiHidden/>
    <w:qFormat/>
    <w:uiPriority w:val="99"/>
    <w:rPr>
      <w:rFonts w:ascii="Times New Roman" w:hAnsi="Times New Roman" w:eastAsia="宋体" w:cs="Times New Roman"/>
      <w:szCs w:val="24"/>
    </w:rPr>
  </w:style>
  <w:style w:type="character" w:customStyle="1" w:styleId="17">
    <w:name w:val="正文文本 Char"/>
    <w:basedOn w:val="9"/>
    <w:link w:val="2"/>
    <w:qFormat/>
    <w:uiPriority w:val="99"/>
    <w:rPr>
      <w:kern w:val="2"/>
      <w:sz w:val="21"/>
      <w:szCs w:val="24"/>
    </w:rPr>
  </w:style>
  <w:style w:type="character" w:customStyle="1" w:styleId="18">
    <w:name w:val="正文文本 Char1"/>
    <w:basedOn w:val="9"/>
    <w:link w:val="2"/>
    <w:semiHidden/>
    <w:qFormat/>
    <w:uiPriority w:val="99"/>
    <w:rPr>
      <w:rFonts w:ascii="Times New Roman" w:hAnsi="Times New Roman" w:eastAsia="宋体" w:cs="Times New Roman"/>
      <w:kern w:val="2"/>
      <w:sz w:val="21"/>
      <w:szCs w:val="24"/>
    </w:rPr>
  </w:style>
  <w:style w:type="paragraph" w:customStyle="1" w:styleId="19">
    <w:name w:val="List Paragraph"/>
    <w:basedOn w:val="1"/>
    <w:unhideWhenUsed/>
    <w:qFormat/>
    <w:uiPriority w:val="99"/>
    <w:pPr>
      <w:ind w:firstLine="420" w:firstLineChars="200"/>
    </w:pPr>
  </w:style>
  <w:style w:type="character" w:customStyle="1" w:styleId="20">
    <w:name w:val="fontstyle01"/>
    <w:qFormat/>
    <w:uiPriority w:val="0"/>
    <w:rPr>
      <w:rFonts w:hint="eastAsia" w:ascii="仿宋_GB2312" w:hAnsi="Calibri" w:eastAsia="仿宋_GB2312" w:cs="Times New Roman"/>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27</Pages>
  <Words>13558</Words>
  <Characters>13974</Characters>
  <Lines>102</Lines>
  <Paragraphs>28</Paragraphs>
  <TotalTime>3</TotalTime>
  <ScaleCrop>false</ScaleCrop>
  <LinksUpToDate>false</LinksUpToDate>
  <CharactersWithSpaces>14099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2021-05-03T00:46:00Z</dcterms:created>
  <dc:creator>桂鑫</dc:creator>
  <cp:lastModifiedBy>邓国威</cp:lastModifiedBy>
  <dcterms:modified xsi:type="dcterms:W3CDTF">2023-11-16T10:02:13Z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DB6C9ECF7DC445BDA24CAF43F3D8C364</vt:lpwstr>
  </property>
</Properties>
</file>